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17" w:rsidRDefault="00D36BAE" w:rsidP="00631A2E">
      <w:pPr>
        <w:pStyle w:val="PaperTitle"/>
      </w:pPr>
      <w:r>
        <w:t>Is Your DR really available in case of Disaster?</w:t>
      </w:r>
    </w:p>
    <w:p w:rsidR="006E5417" w:rsidRDefault="00D36BAE">
      <w:pPr>
        <w:pStyle w:val="Author"/>
      </w:pPr>
      <w:r>
        <w:t>Sreekanth Chintala, Dell Inc</w:t>
      </w:r>
    </w:p>
    <w:p w:rsidR="006E5417" w:rsidRPr="009F1386" w:rsidRDefault="00D36BAE" w:rsidP="009F1386">
      <w:pPr>
        <w:pStyle w:val="Subhead1"/>
      </w:pPr>
      <w:r w:rsidRPr="009F1386">
        <w:t>Abstract</w:t>
      </w:r>
    </w:p>
    <w:p w:rsidR="002A13C9" w:rsidRDefault="002A13C9" w:rsidP="002A13C9">
      <w:pPr>
        <w:pStyle w:val="BodyCopy"/>
      </w:pPr>
      <w:r>
        <w:t>Many corporations r</w:t>
      </w:r>
      <w:r w:rsidR="00885D78">
        <w:t>ely on Data Guard as a primary Disaster R</w:t>
      </w:r>
      <w:r>
        <w:t xml:space="preserve">ecovery (DR) solution. Once configured properly, switching over to </w:t>
      </w:r>
      <w:r w:rsidR="00E951F8">
        <w:t xml:space="preserve">DR site </w:t>
      </w:r>
      <w:r>
        <w:t xml:space="preserve">should not be a surprise.  </w:t>
      </w:r>
      <w:r w:rsidR="00E951F8">
        <w:t xml:space="preserve">However, </w:t>
      </w:r>
      <w:r>
        <w:t xml:space="preserve">configuration changes </w:t>
      </w:r>
      <w:r w:rsidR="00885D78">
        <w:t xml:space="preserve">occur </w:t>
      </w:r>
      <w:r>
        <w:t>over time and chance of maintaining a history of changes that is readily available during the disas</w:t>
      </w:r>
      <w:r w:rsidR="00E951F8">
        <w:t>ter is slim.  Validation of a DR</w:t>
      </w:r>
      <w:r>
        <w:t xml:space="preserve"> configuration </w:t>
      </w:r>
      <w:r w:rsidR="00E951F8">
        <w:t xml:space="preserve">involves numerous </w:t>
      </w:r>
      <w:r w:rsidR="0009422E">
        <w:t xml:space="preserve">time consuming steps, yet </w:t>
      </w:r>
      <w:r w:rsidR="00566720">
        <w:t xml:space="preserve">these steps are </w:t>
      </w:r>
      <w:r w:rsidR="00E951F8">
        <w:t xml:space="preserve">essential for a successful switchover. Performing </w:t>
      </w:r>
      <w:r>
        <w:t>the</w:t>
      </w:r>
      <w:r w:rsidR="00E951F8">
        <w:t>se</w:t>
      </w:r>
      <w:r>
        <w:t xml:space="preserve"> validation</w:t>
      </w:r>
      <w:r w:rsidR="00E951F8">
        <w:t>s</w:t>
      </w:r>
      <w:r>
        <w:t xml:space="preserve"> </w:t>
      </w:r>
      <w:r w:rsidR="00E951F8">
        <w:t xml:space="preserve">in the middle of a </w:t>
      </w:r>
      <w:r>
        <w:t xml:space="preserve">disaster will prolong the system availability.  </w:t>
      </w:r>
      <w:r w:rsidR="00147086" w:rsidRPr="002A13C9">
        <w:t xml:space="preserve">The very purpose of having a </w:t>
      </w:r>
      <w:r w:rsidR="00885D78">
        <w:t xml:space="preserve">DR </w:t>
      </w:r>
      <w:r w:rsidR="00147086" w:rsidRPr="002A13C9">
        <w:t xml:space="preserve">system is to provide business continuity </w:t>
      </w:r>
      <w:r w:rsidR="00501C5A">
        <w:t xml:space="preserve">with as </w:t>
      </w:r>
      <w:r w:rsidR="00C97B27">
        <w:t xml:space="preserve">little </w:t>
      </w:r>
      <w:r w:rsidR="00501C5A">
        <w:t>downtime as possible</w:t>
      </w:r>
      <w:r w:rsidR="00147086" w:rsidRPr="002A13C9">
        <w:t>. How good is it to invest-in or rely-on a DR system that may not meet your business continuity service level agreements?</w:t>
      </w:r>
    </w:p>
    <w:p w:rsidR="002A13C9" w:rsidRDefault="002A13C9" w:rsidP="002A13C9">
      <w:pPr>
        <w:pStyle w:val="BodyCopy"/>
        <w:rPr>
          <w:szCs w:val="22"/>
        </w:rPr>
      </w:pPr>
    </w:p>
    <w:p w:rsidR="003F24B4" w:rsidRPr="00885D78" w:rsidRDefault="003F24B4" w:rsidP="003F24B4">
      <w:pPr>
        <w:widowControl w:val="0"/>
        <w:autoSpaceDE w:val="0"/>
        <w:autoSpaceDN w:val="0"/>
        <w:adjustRightInd w:val="0"/>
        <w:spacing w:after="0"/>
        <w:rPr>
          <w:rFonts w:cs="Consolas"/>
          <w:szCs w:val="22"/>
        </w:rPr>
      </w:pPr>
      <w:r w:rsidRPr="00885D78">
        <w:rPr>
          <w:rFonts w:cs="Consolas"/>
          <w:szCs w:val="22"/>
        </w:rPr>
        <w:t xml:space="preserve">This </w:t>
      </w:r>
      <w:r w:rsidR="005F54F0">
        <w:rPr>
          <w:rFonts w:cs="Consolas"/>
          <w:szCs w:val="22"/>
        </w:rPr>
        <w:t>paper</w:t>
      </w:r>
      <w:r w:rsidRPr="00885D78">
        <w:rPr>
          <w:rFonts w:cs="Consolas"/>
          <w:szCs w:val="22"/>
        </w:rPr>
        <w:t xml:space="preserve"> outlines </w:t>
      </w:r>
      <w:r>
        <w:rPr>
          <w:rFonts w:cs="Consolas"/>
          <w:szCs w:val="22"/>
        </w:rPr>
        <w:t xml:space="preserve">the usage and advantages of </w:t>
      </w:r>
      <w:r w:rsidR="0009422E">
        <w:rPr>
          <w:rFonts w:cs="Consolas"/>
          <w:szCs w:val="22"/>
        </w:rPr>
        <w:t xml:space="preserve">using </w:t>
      </w:r>
      <w:r>
        <w:rPr>
          <w:rFonts w:cs="Consolas"/>
          <w:szCs w:val="22"/>
        </w:rPr>
        <w:t xml:space="preserve">a utility that can validate a Data Guard configuration and provide a report within </w:t>
      </w:r>
      <w:r w:rsidR="00C97B27">
        <w:rPr>
          <w:rFonts w:cs="Consolas"/>
          <w:szCs w:val="22"/>
        </w:rPr>
        <w:t xml:space="preserve">a </w:t>
      </w:r>
      <w:r>
        <w:rPr>
          <w:rFonts w:cs="Consolas"/>
          <w:szCs w:val="22"/>
        </w:rPr>
        <w:t>matter of seconds.   This paper</w:t>
      </w:r>
      <w:r w:rsidRPr="00885D78">
        <w:rPr>
          <w:rFonts w:cs="Consolas"/>
          <w:szCs w:val="22"/>
        </w:rPr>
        <w:t xml:space="preserve"> also briefly discusses </w:t>
      </w:r>
      <w:r w:rsidR="0009422E">
        <w:rPr>
          <w:rFonts w:cs="Consolas"/>
          <w:szCs w:val="22"/>
        </w:rPr>
        <w:t xml:space="preserve">the </w:t>
      </w:r>
      <w:r>
        <w:rPr>
          <w:rFonts w:cs="Consolas"/>
          <w:szCs w:val="22"/>
        </w:rPr>
        <w:t xml:space="preserve">best practices </w:t>
      </w:r>
      <w:r w:rsidR="0009422E">
        <w:rPr>
          <w:rFonts w:cs="Consolas"/>
          <w:szCs w:val="22"/>
        </w:rPr>
        <w:t xml:space="preserve">for creating a Physical Standby database </w:t>
      </w:r>
      <w:r>
        <w:rPr>
          <w:rFonts w:cs="Consolas"/>
          <w:szCs w:val="22"/>
        </w:rPr>
        <w:t xml:space="preserve">and the advantages of leveraging </w:t>
      </w:r>
      <w:r w:rsidRPr="00885D78">
        <w:rPr>
          <w:rFonts w:cs="Consolas"/>
          <w:szCs w:val="22"/>
        </w:rPr>
        <w:t>Oracle Enterprise Mana</w:t>
      </w:r>
      <w:r w:rsidR="0009422E">
        <w:rPr>
          <w:rFonts w:cs="Consolas"/>
          <w:szCs w:val="22"/>
        </w:rPr>
        <w:t xml:space="preserve">ger’s extensibility features in creating </w:t>
      </w:r>
      <w:r>
        <w:rPr>
          <w:rFonts w:cs="Consolas"/>
          <w:szCs w:val="22"/>
        </w:rPr>
        <w:t>a Management Plug</w:t>
      </w:r>
      <w:r w:rsidR="0009422E">
        <w:rPr>
          <w:rFonts w:cs="Consolas"/>
          <w:szCs w:val="22"/>
        </w:rPr>
        <w:t>-</w:t>
      </w:r>
      <w:r>
        <w:rPr>
          <w:rFonts w:cs="Consolas"/>
          <w:szCs w:val="22"/>
        </w:rPr>
        <w:t>in</w:t>
      </w:r>
      <w:r w:rsidR="0009422E">
        <w:rPr>
          <w:rFonts w:cs="Consolas"/>
          <w:szCs w:val="22"/>
        </w:rPr>
        <w:t xml:space="preserve"> for Data Guard monitoring</w:t>
      </w:r>
      <w:r>
        <w:rPr>
          <w:rFonts w:cs="Consolas"/>
          <w:szCs w:val="22"/>
        </w:rPr>
        <w:t>.</w:t>
      </w:r>
    </w:p>
    <w:p w:rsidR="00134432" w:rsidRPr="00885D78" w:rsidRDefault="00134432" w:rsidP="002A13C9">
      <w:pPr>
        <w:pStyle w:val="BodyCopy"/>
        <w:rPr>
          <w:szCs w:val="22"/>
        </w:rPr>
      </w:pPr>
    </w:p>
    <w:p w:rsidR="00236052" w:rsidRDefault="001F5898" w:rsidP="009F1386">
      <w:pPr>
        <w:pStyle w:val="Subhead1"/>
      </w:pPr>
      <w:r>
        <w:t>Challenges in a Global Enterprise</w:t>
      </w:r>
    </w:p>
    <w:p w:rsidR="00147086" w:rsidRDefault="002A13C9" w:rsidP="00236052">
      <w:pPr>
        <w:pStyle w:val="BodyCopy"/>
      </w:pPr>
      <w:r>
        <w:t>I</w:t>
      </w:r>
      <w:r w:rsidRPr="002A13C9">
        <w:t>n larg</w:t>
      </w:r>
      <w:r w:rsidR="003F24B4">
        <w:t xml:space="preserve">e enterprises, over time, </w:t>
      </w:r>
      <w:r w:rsidR="00147086">
        <w:t xml:space="preserve">it is </w:t>
      </w:r>
      <w:r w:rsidR="00885D78">
        <w:t xml:space="preserve">possible </w:t>
      </w:r>
      <w:r w:rsidRPr="002A13C9">
        <w:t>that th</w:t>
      </w:r>
      <w:r w:rsidR="00147086">
        <w:t xml:space="preserve">e responsibility of managing a </w:t>
      </w:r>
      <w:r w:rsidR="00FE29F5">
        <w:t xml:space="preserve">database </w:t>
      </w:r>
      <w:r w:rsidRPr="002A13C9">
        <w:t>environ</w:t>
      </w:r>
      <w:r w:rsidR="00147086">
        <w:t xml:space="preserve">ment may </w:t>
      </w:r>
      <w:r w:rsidR="00885D78">
        <w:t>move from DBA to DBA</w:t>
      </w:r>
      <w:r w:rsidR="00147086">
        <w:t xml:space="preserve">.  </w:t>
      </w:r>
      <w:r w:rsidR="00FE29F5">
        <w:t xml:space="preserve">The </w:t>
      </w:r>
      <w:r w:rsidR="003F24B4">
        <w:t xml:space="preserve">person, </w:t>
      </w:r>
      <w:r w:rsidRPr="002A13C9">
        <w:t xml:space="preserve">who configured </w:t>
      </w:r>
      <w:r w:rsidR="00147086">
        <w:t xml:space="preserve">an environment, </w:t>
      </w:r>
      <w:r w:rsidR="003F24B4">
        <w:t>may have moved on</w:t>
      </w:r>
      <w:r w:rsidR="005F54F0">
        <w:t>,</w:t>
      </w:r>
      <w:r w:rsidR="003F24B4">
        <w:t xml:space="preserve"> and the new owner</w:t>
      </w:r>
      <w:r w:rsidRPr="002A13C9">
        <w:t xml:space="preserve"> may not be </w:t>
      </w:r>
      <w:r w:rsidR="00885D78">
        <w:t xml:space="preserve">familiar with </w:t>
      </w:r>
      <w:r w:rsidRPr="002A13C9">
        <w:t xml:space="preserve">the </w:t>
      </w:r>
      <w:r w:rsidR="00885D78">
        <w:t>system</w:t>
      </w:r>
      <w:r w:rsidRPr="002A13C9">
        <w:t xml:space="preserve">.  </w:t>
      </w:r>
      <w:r w:rsidR="00147086">
        <w:t xml:space="preserve">Typically, no </w:t>
      </w:r>
      <w:r w:rsidRPr="002A13C9">
        <w:t xml:space="preserve">documentation </w:t>
      </w:r>
      <w:r w:rsidR="00147086">
        <w:t xml:space="preserve">is </w:t>
      </w:r>
      <w:r w:rsidRPr="002A13C9">
        <w:t xml:space="preserve">maintained on </w:t>
      </w:r>
      <w:r w:rsidR="00147086">
        <w:t xml:space="preserve">configuration changes. Even </w:t>
      </w:r>
      <w:r w:rsidR="00FE29F5">
        <w:t xml:space="preserve">if there is documentation, </w:t>
      </w:r>
      <w:r w:rsidR="00147086">
        <w:t xml:space="preserve">it is </w:t>
      </w:r>
      <w:r w:rsidR="002A0A36">
        <w:t xml:space="preserve">usually hard to estimate </w:t>
      </w:r>
      <w:r w:rsidR="00147086">
        <w:t xml:space="preserve">on the accuracy and </w:t>
      </w:r>
      <w:r w:rsidR="005F54F0">
        <w:t>authenticity of such documents o</w:t>
      </w:r>
      <w:r w:rsidR="003F24B4">
        <w:t>r</w:t>
      </w:r>
      <w:r w:rsidR="005F54F0">
        <w:t xml:space="preserve"> </w:t>
      </w:r>
      <w:r w:rsidR="003F24B4">
        <w:t>there may be many DBAs managing the same system and</w:t>
      </w:r>
      <w:r w:rsidR="001F5898">
        <w:t xml:space="preserve"> t</w:t>
      </w:r>
      <w:r w:rsidR="002A0A36">
        <w:t>r</w:t>
      </w:r>
      <w:r w:rsidR="001F5898">
        <w:t xml:space="preserve">acking the changes can be cumbersome and impractical.  </w:t>
      </w:r>
      <w:r w:rsidR="003F24B4">
        <w:t>In essence, in a global enterprise, it is hard to predict the health of a Data Guard environment without performing proper validation.</w:t>
      </w:r>
    </w:p>
    <w:p w:rsidR="001F5898" w:rsidRDefault="001F5898" w:rsidP="00236052">
      <w:pPr>
        <w:pStyle w:val="BodyCopy"/>
      </w:pPr>
    </w:p>
    <w:p w:rsidR="001F5898" w:rsidRDefault="001F5898" w:rsidP="009F1386">
      <w:pPr>
        <w:pStyle w:val="Subhead1"/>
      </w:pPr>
      <w:r>
        <w:t>Proactive vs Reactive</w:t>
      </w:r>
    </w:p>
    <w:p w:rsidR="001F5898" w:rsidRDefault="00FE29F5" w:rsidP="00FE29F5">
      <w:pPr>
        <w:pStyle w:val="BodyCopy"/>
      </w:pPr>
      <w:r>
        <w:t xml:space="preserve">It is a very well known fact that </w:t>
      </w:r>
      <w:r w:rsidRPr="002A13C9">
        <w:rPr>
          <w:i/>
        </w:rPr>
        <w:t>“Prevention is better than cure”</w:t>
      </w:r>
      <w:r>
        <w:t xml:space="preserve">.  How many of us </w:t>
      </w:r>
      <w:r w:rsidR="001F5898">
        <w:t xml:space="preserve">really </w:t>
      </w:r>
      <w:r>
        <w:t xml:space="preserve">practice this in life? The reality is we never have time for proactive maintenance and majority of the time we are always fighting the fires reactively.  So, we need to find ways to change this </w:t>
      </w:r>
      <w:r w:rsidR="005F54F0">
        <w:t>behavior</w:t>
      </w:r>
      <w:r>
        <w:t xml:space="preserve"> through innovation and automation.   </w:t>
      </w:r>
      <w:r w:rsidR="001F5898">
        <w:t>Performing a manual validation is time consuming and can be error prone. After all “</w:t>
      </w:r>
      <w:r w:rsidR="001F5898" w:rsidRPr="001F5898">
        <w:rPr>
          <w:i/>
        </w:rPr>
        <w:t>it is human to err</w:t>
      </w:r>
      <w:r w:rsidR="001F5898">
        <w:t>”.  A single mistake or ignoring a critical warning could compromise your system availability down the road.  The best solution for avoiding human errors is not to provide the opportunity at all.  A utility that can perform the validations and provide a comprehensive report is invaluable.</w:t>
      </w:r>
    </w:p>
    <w:p w:rsidR="00FE31C6" w:rsidRDefault="00FE31C6" w:rsidP="00FE31C6">
      <w:pPr>
        <w:pStyle w:val="BodyCopy"/>
      </w:pPr>
    </w:p>
    <w:p w:rsidR="00FE31C6" w:rsidRDefault="00FE31C6" w:rsidP="009F1386">
      <w:pPr>
        <w:pStyle w:val="Subhead1"/>
      </w:pPr>
      <w:r>
        <w:t>Data Guard Configuration Verification Utility</w:t>
      </w:r>
      <w:r w:rsidR="00C84B86">
        <w:t xml:space="preserve"> (DGCVU)</w:t>
      </w:r>
    </w:p>
    <w:p w:rsidR="00FE31C6" w:rsidRDefault="00FE31C6" w:rsidP="00FE31C6">
      <w:pPr>
        <w:pStyle w:val="BodyCopy"/>
      </w:pPr>
      <w:r>
        <w:t xml:space="preserve">Data Guard Configuration Verification Utility (DGCVU) provides the configuration information in a matter of seconds for your review.  </w:t>
      </w:r>
      <w:r w:rsidR="00034BDC">
        <w:t xml:space="preserve">Manually performing these validations </w:t>
      </w:r>
      <w:r>
        <w:t xml:space="preserve">will take </w:t>
      </w:r>
      <w:r w:rsidR="00034BDC">
        <w:t xml:space="preserve">a long time, </w:t>
      </w:r>
      <w:r>
        <w:t>especially in a RAC environment.  As the number of nodes in the RAC increases, the validation time also increases.  Moreover, chances of missing one or two critical checks could cost you dearly down the road.</w:t>
      </w:r>
    </w:p>
    <w:p w:rsidR="00FE29F5" w:rsidRDefault="00FE29F5" w:rsidP="00236052">
      <w:pPr>
        <w:pStyle w:val="BodyCopy"/>
      </w:pPr>
    </w:p>
    <w:p w:rsidR="00D36BAE" w:rsidRDefault="00D36BAE" w:rsidP="009F1386">
      <w:pPr>
        <w:pStyle w:val="Subhead1"/>
      </w:pPr>
      <w:r>
        <w:t>Data Guard</w:t>
      </w:r>
    </w:p>
    <w:p w:rsidR="00A66B81" w:rsidRDefault="00A66B81" w:rsidP="00A66B81">
      <w:pPr>
        <w:pStyle w:val="BodyCopy"/>
      </w:pPr>
      <w:r>
        <w:t xml:space="preserve">Oracle Data Guard provides </w:t>
      </w:r>
      <w:r w:rsidR="00C97B27">
        <w:t xml:space="preserve">a </w:t>
      </w:r>
      <w:r>
        <w:t xml:space="preserve">lot of mission critical features such as high availability, data protection, and disaster recovery for enterprise data. Data Guard provides a comprehensive set of services that create, maintain, manage, and monitor one or more standby databases </w:t>
      </w:r>
      <w:r w:rsidR="00034BDC">
        <w:t>which</w:t>
      </w:r>
      <w:r>
        <w:t xml:space="preserve"> enable</w:t>
      </w:r>
      <w:r w:rsidR="00034BDC">
        <w:t>s</w:t>
      </w:r>
      <w:r>
        <w:t xml:space="preserve"> </w:t>
      </w:r>
      <w:r w:rsidR="00034BDC">
        <w:t xml:space="preserve">primary </w:t>
      </w:r>
      <w:r>
        <w:t xml:space="preserve">databases to survive disasters and data corruptions.   Data Guard maintains these standby databases as transactionally consistent copies of the </w:t>
      </w:r>
      <w:r w:rsidR="00034BDC">
        <w:t xml:space="preserve">primary </w:t>
      </w:r>
      <w:r>
        <w:t xml:space="preserve">database. </w:t>
      </w:r>
      <w:r w:rsidR="00034BDC">
        <w:t xml:space="preserve"> </w:t>
      </w:r>
      <w:r>
        <w:t xml:space="preserve">In case the </w:t>
      </w:r>
      <w:r w:rsidR="00034BDC">
        <w:t xml:space="preserve">primary </w:t>
      </w:r>
      <w:r>
        <w:t xml:space="preserve">database becomes </w:t>
      </w:r>
      <w:r>
        <w:lastRenderedPageBreak/>
        <w:t xml:space="preserve">unavailable, Data Guard </w:t>
      </w:r>
      <w:r w:rsidR="00501C5A">
        <w:t xml:space="preserve">can switch any </w:t>
      </w:r>
      <w:r w:rsidR="002A0A36">
        <w:t xml:space="preserve">available </w:t>
      </w:r>
      <w:r w:rsidR="00501C5A">
        <w:t>standby database it managers</w:t>
      </w:r>
      <w:r>
        <w:t xml:space="preserve"> to the </w:t>
      </w:r>
      <w:r w:rsidR="00034BDC">
        <w:t xml:space="preserve">primary </w:t>
      </w:r>
      <w:r>
        <w:t>role, minimizing the downtime associated with the outage</w:t>
      </w:r>
      <w:r w:rsidR="00C97B27">
        <w:t>.</w:t>
      </w:r>
    </w:p>
    <w:p w:rsidR="00034BDC" w:rsidRDefault="00034BDC" w:rsidP="009F1386">
      <w:pPr>
        <w:pStyle w:val="Subhead2"/>
      </w:pPr>
    </w:p>
    <w:p w:rsidR="00A66B81" w:rsidRDefault="00A66B81" w:rsidP="009F1386">
      <w:pPr>
        <w:pStyle w:val="Subhead2"/>
      </w:pPr>
      <w:r>
        <w:t>Data Guard Components</w:t>
      </w:r>
    </w:p>
    <w:p w:rsidR="00A66B81" w:rsidRDefault="00A66B81" w:rsidP="00A66B81">
      <w:pPr>
        <w:pStyle w:val="BodyCopy"/>
      </w:pPr>
      <w:r>
        <w:t>Oracle Data Guard consists of a primary database and a physical or logical standby database. The databases in a Data Guard configuration are connected by Oracle Net and may be dispersed geographically. There are no restrictions on where the databases are located, provided they can communicate with each other. For example, you can have a standby database on the same system as the production database, along with two standby databases on other systems at remote locations.</w:t>
      </w:r>
      <w:r w:rsidR="003F64F1">
        <w:t xml:space="preserve"> </w:t>
      </w:r>
      <w:r w:rsidR="004B409A">
        <w:t xml:space="preserve">Figure:1 shows </w:t>
      </w:r>
      <w:r>
        <w:t>differ</w:t>
      </w:r>
      <w:r w:rsidR="004B409A">
        <w:t>ent components of a Data Guard e</w:t>
      </w:r>
      <w:r>
        <w:t>nvi</w:t>
      </w:r>
      <w:r w:rsidR="004B409A">
        <w:t>ro</w:t>
      </w:r>
      <w:r>
        <w:t>nment</w:t>
      </w:r>
      <w:r w:rsidR="00C97B27">
        <w:t>.</w:t>
      </w:r>
    </w:p>
    <w:p w:rsidR="00A66B81" w:rsidRDefault="004749AF" w:rsidP="00A66B81">
      <w:pPr>
        <w:pStyle w:val="BodyCopy"/>
      </w:pPr>
      <w:r>
        <w:rPr>
          <w:noProof/>
        </w:rPr>
        <w:drawing>
          <wp:inline distT="0" distB="0" distL="0" distR="0">
            <wp:extent cx="6847205" cy="4083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47205" cy="4083050"/>
                    </a:xfrm>
                    <a:prstGeom prst="rect">
                      <a:avLst/>
                    </a:prstGeom>
                    <a:noFill/>
                    <a:ln w="9525">
                      <a:noFill/>
                      <a:miter lim="800000"/>
                      <a:headEnd/>
                      <a:tailEnd/>
                    </a:ln>
                  </pic:spPr>
                </pic:pic>
              </a:graphicData>
            </a:graphic>
          </wp:inline>
        </w:drawing>
      </w:r>
    </w:p>
    <w:p w:rsidR="00501C5A" w:rsidRDefault="00501C5A" w:rsidP="00501C5A">
      <w:pPr>
        <w:pStyle w:val="Figuretag"/>
      </w:pPr>
      <w:r>
        <w:t>Figure1: Data Guard Components</w:t>
      </w:r>
    </w:p>
    <w:p w:rsidR="006E5417" w:rsidRDefault="00BA5A2C" w:rsidP="009F1386">
      <w:pPr>
        <w:pStyle w:val="Subhead2"/>
      </w:pPr>
      <w:r>
        <w:t>Primary Database</w:t>
      </w:r>
    </w:p>
    <w:p w:rsidR="006E5417" w:rsidRDefault="00BA5A2C" w:rsidP="002344C6">
      <w:pPr>
        <w:pStyle w:val="BodyCopy"/>
      </w:pPr>
      <w:r w:rsidRPr="00BA5A2C">
        <w:t xml:space="preserve">A Data Guard configuration </w:t>
      </w:r>
      <w:r w:rsidR="002A0A36">
        <w:t>must contain</w:t>
      </w:r>
      <w:r w:rsidRPr="00BA5A2C">
        <w:t xml:space="preserve"> one </w:t>
      </w:r>
      <w:r w:rsidR="002A0A36">
        <w:t>primary</w:t>
      </w:r>
      <w:r w:rsidRPr="00BA5A2C">
        <w:t xml:space="preserve"> database</w:t>
      </w:r>
      <w:r w:rsidR="002A0A36">
        <w:t xml:space="preserve"> that is </w:t>
      </w:r>
      <w:r w:rsidRPr="00BA5A2C">
        <w:t xml:space="preserve">accessed by most of </w:t>
      </w:r>
      <w:r w:rsidR="004B409A">
        <w:t xml:space="preserve">the </w:t>
      </w:r>
      <w:r w:rsidRPr="00BA5A2C">
        <w:t>applications. The primary database can be either a single-instance Oracle database or an Oracle Real Application Clusters database.</w:t>
      </w:r>
    </w:p>
    <w:p w:rsidR="00402436" w:rsidRDefault="00402436" w:rsidP="009F1386">
      <w:pPr>
        <w:pStyle w:val="Subhead2"/>
      </w:pPr>
    </w:p>
    <w:p w:rsidR="00BA5A2C" w:rsidRDefault="00BA5A2C" w:rsidP="009F1386">
      <w:pPr>
        <w:pStyle w:val="Subhead2"/>
      </w:pPr>
      <w:r>
        <w:t>Standby Database</w:t>
      </w:r>
    </w:p>
    <w:p w:rsidR="00BA5A2C" w:rsidRDefault="00BA5A2C" w:rsidP="00BA5A2C">
      <w:pPr>
        <w:pStyle w:val="BodyCopy"/>
      </w:pPr>
      <w:r>
        <w:t>A standby database is a transactionally consisten</w:t>
      </w:r>
      <w:r w:rsidR="002A0A36">
        <w:t>t copy of the primary database.  A Data Guard configuration can support</w:t>
      </w:r>
      <w:r w:rsidR="00E609FE">
        <w:t xml:space="preserve"> up to nine standby databases</w:t>
      </w:r>
      <w:r>
        <w:t>. Once created, Data Guard automatically maintains each standby database by transmitting redo data from the primary database and then applying the redo to the standby database.</w:t>
      </w:r>
      <w:r w:rsidR="00167C94">
        <w:t xml:space="preserve">  </w:t>
      </w:r>
      <w:r>
        <w:t>Similar to a primary database, a standby database can be either a single-instance Oracle database or an Oracle Real Application Clusters database. A standby database can be either a physical standby database or a logical standby database:</w:t>
      </w:r>
    </w:p>
    <w:p w:rsidR="00BA5A2C" w:rsidRDefault="00BA5A2C" w:rsidP="009F1386">
      <w:pPr>
        <w:pStyle w:val="Subhead3"/>
      </w:pPr>
      <w:r>
        <w:t>Physical Standby</w:t>
      </w:r>
    </w:p>
    <w:p w:rsidR="00BA5A2C" w:rsidRDefault="00BA5A2C" w:rsidP="00BA5A2C">
      <w:pPr>
        <w:pStyle w:val="BodyCopy"/>
      </w:pPr>
      <w:r>
        <w:t xml:space="preserve">Physical Standby provides a physically identical copy of the primary database. The database </w:t>
      </w:r>
      <w:r w:rsidR="003F64F1">
        <w:t>schemas, including indexes, are</w:t>
      </w:r>
      <w:r>
        <w:t xml:space="preserve"> the same. A physical standby database is kept synchronized with the primary database, th</w:t>
      </w:r>
      <w:r w:rsidR="007E5F5F">
        <w:t>r</w:t>
      </w:r>
      <w:r>
        <w:t xml:space="preserve">ough Redo Apply, which recovers the </w:t>
      </w:r>
      <w:r>
        <w:lastRenderedPageBreak/>
        <w:t>redo data received from the primary database and applies the redo to the physical standby database. A physical standby database can be used for business purposes other than disaster recovery on a limited basis.</w:t>
      </w:r>
    </w:p>
    <w:p w:rsidR="00402436" w:rsidRDefault="00402436" w:rsidP="009F1386">
      <w:pPr>
        <w:pStyle w:val="Subhead3"/>
      </w:pPr>
    </w:p>
    <w:p w:rsidR="00BA5A2C" w:rsidRDefault="00BA5A2C" w:rsidP="009F1386">
      <w:pPr>
        <w:pStyle w:val="Subhead3"/>
      </w:pPr>
      <w:r>
        <w:t>Logical Standby</w:t>
      </w:r>
    </w:p>
    <w:p w:rsidR="00BA5A2C" w:rsidRDefault="004B409A" w:rsidP="00BA5A2C">
      <w:pPr>
        <w:pStyle w:val="BodyCopy"/>
      </w:pPr>
      <w:r>
        <w:t>Logical Standby c</w:t>
      </w:r>
      <w:r w:rsidR="00BA5A2C">
        <w:t>ontains the same logical information as the production database, although the physical organization and structure of the data can be different. The logical standby database is kept synchronized with the primary database th</w:t>
      </w:r>
      <w:r w:rsidR="007E5F5F">
        <w:t>r</w:t>
      </w:r>
      <w:r w:rsidR="00BA5A2C">
        <w:t>ough SQL Apply, which transforms the data in the redo received from the primary database into SQL statements and then executing the SQL statements on the standby database.</w:t>
      </w:r>
    </w:p>
    <w:p w:rsidR="00034BDC" w:rsidRDefault="00034BDC" w:rsidP="00BA5A2C">
      <w:pPr>
        <w:pStyle w:val="BodyCopy"/>
      </w:pPr>
    </w:p>
    <w:p w:rsidR="00BA5A2C" w:rsidRDefault="00BA5A2C" w:rsidP="00BA5A2C">
      <w:pPr>
        <w:pStyle w:val="BodyCopy"/>
      </w:pPr>
      <w:r>
        <w:t>A logical standby database can be used for other business purposes in addition to disaster recovery requirements. This allows users to access a logical standby database for queries and reporting purposes at any time. Also, using a logical standby database, you can upgrade Oracle Database software and patch sets with almost no downtime. Thus, a logical standby database can be used concurrently for data protection, reporting, and database upgrades.</w:t>
      </w:r>
    </w:p>
    <w:p w:rsidR="00402436" w:rsidRDefault="00402436" w:rsidP="009F1386">
      <w:pPr>
        <w:pStyle w:val="Subhead2"/>
      </w:pPr>
    </w:p>
    <w:p w:rsidR="00D36BAE" w:rsidRDefault="00D36BAE" w:rsidP="009F1386">
      <w:pPr>
        <w:pStyle w:val="Subhead2"/>
      </w:pPr>
      <w:r>
        <w:t xml:space="preserve">Data Guard </w:t>
      </w:r>
      <w:r w:rsidR="009F1386">
        <w:t>B</w:t>
      </w:r>
      <w:r>
        <w:t>roker</w:t>
      </w:r>
    </w:p>
    <w:p w:rsidR="006307D6" w:rsidRDefault="002344C6" w:rsidP="007E5F5F">
      <w:pPr>
        <w:pStyle w:val="BodyCopy"/>
      </w:pPr>
      <w:r>
        <w:t>The Data Guard broker is a distributed management framework that automates and centralizes the creation, maintenance, and monitorin</w:t>
      </w:r>
      <w:r w:rsidR="007E5F5F">
        <w:t xml:space="preserve">g of Data Guard configurations.  </w:t>
      </w:r>
      <w:r w:rsidR="006307D6" w:rsidRPr="006307D6">
        <w:t>The Data Guard broker logically groups primary and standby databases into a configuration that allows the broker to manage and monitor them together</w:t>
      </w:r>
      <w:r w:rsidR="007E5F5F">
        <w:t xml:space="preserve">. </w:t>
      </w:r>
    </w:p>
    <w:p w:rsidR="00034BDC" w:rsidRDefault="00034BDC" w:rsidP="007E5F5F">
      <w:pPr>
        <w:pStyle w:val="BodyCopy"/>
      </w:pPr>
    </w:p>
    <w:p w:rsidR="00575A99" w:rsidRDefault="00575A99" w:rsidP="00575A99">
      <w:pPr>
        <w:pStyle w:val="BodyCopy"/>
      </w:pPr>
      <w:r>
        <w:t xml:space="preserve">You can perform all management operations locally or remotely through the broker’s easy-to-use interfaces: the Data Guard management </w:t>
      </w:r>
      <w:r w:rsidR="00C1188C">
        <w:t xml:space="preserve">section of </w:t>
      </w:r>
      <w:r>
        <w:t xml:space="preserve">Oracle Enterprise </w:t>
      </w:r>
      <w:r w:rsidR="00E609FE">
        <w:t>Manager</w:t>
      </w:r>
      <w:r>
        <w:t xml:space="preserve"> </w:t>
      </w:r>
      <w:r w:rsidR="00E609FE">
        <w:t>or</w:t>
      </w:r>
      <w:r>
        <w:t xml:space="preserve"> the Data Guard command-line interface called DGMGRL.</w:t>
      </w:r>
    </w:p>
    <w:p w:rsidR="00575A99" w:rsidRPr="006307D6" w:rsidRDefault="00575A99" w:rsidP="007E5F5F">
      <w:pPr>
        <w:pStyle w:val="BodyCopy"/>
      </w:pPr>
    </w:p>
    <w:p w:rsidR="005E1135" w:rsidRDefault="005E1135" w:rsidP="009F1386">
      <w:pPr>
        <w:pStyle w:val="Subhead3"/>
      </w:pPr>
      <w:r>
        <w:t>Advantages of using Data Guard broker</w:t>
      </w:r>
    </w:p>
    <w:p w:rsidR="003F64F1" w:rsidRDefault="003F64F1" w:rsidP="006307D6">
      <w:pPr>
        <w:pStyle w:val="BodyCopy"/>
      </w:pPr>
      <w:r>
        <w:t>There are several advantages in using a Data Guard Broker to manage the configuration.</w:t>
      </w:r>
    </w:p>
    <w:p w:rsidR="00D946BE" w:rsidRDefault="00D946BE" w:rsidP="00D946BE">
      <w:pPr>
        <w:pStyle w:val="Bullet"/>
      </w:pPr>
      <w:r>
        <w:t>Broker manages and monitors the status of the entire configuration.  It captures diagnostic information, reports statistics such as the log apply rate, the redo generation rate, and detects problems proactively.</w:t>
      </w:r>
    </w:p>
    <w:p w:rsidR="00D946BE" w:rsidRDefault="00D946BE" w:rsidP="00D946BE">
      <w:pPr>
        <w:pStyle w:val="Bullet"/>
      </w:pPr>
      <w:r>
        <w:t xml:space="preserve">Enables </w:t>
      </w:r>
      <w:r w:rsidRPr="00D946BE">
        <w:rPr>
          <w:i/>
        </w:rPr>
        <w:t>Fast Start Failover</w:t>
      </w:r>
      <w:r>
        <w:t xml:space="preserve"> operations enhancing high availability. Fast Start Failover is initiating failover to standby automatically upon loss of the primary database without manual intervention.</w:t>
      </w:r>
    </w:p>
    <w:p w:rsidR="00196DCB" w:rsidRDefault="00D946BE" w:rsidP="00196DCB">
      <w:pPr>
        <w:pStyle w:val="Bullet"/>
      </w:pPr>
      <w:r>
        <w:t>Users can manage and monitor</w:t>
      </w:r>
      <w:r w:rsidR="00196DCB">
        <w:t xml:space="preserve"> all databases in the configuration from any system in the configuration through a client connection. </w:t>
      </w:r>
    </w:p>
    <w:p w:rsidR="00196DCB" w:rsidRDefault="00196DCB" w:rsidP="00196DCB">
      <w:pPr>
        <w:pStyle w:val="Bullet"/>
      </w:pPr>
      <w:r>
        <w:t xml:space="preserve">Changes to the configuration can be performed through Data Guard Broker </w:t>
      </w:r>
      <w:r w:rsidR="00D946BE">
        <w:t xml:space="preserve">command line </w:t>
      </w:r>
      <w:r>
        <w:t>interface</w:t>
      </w:r>
      <w:r w:rsidR="00D946BE">
        <w:t xml:space="preserve"> (</w:t>
      </w:r>
      <w:r w:rsidR="00D946BE" w:rsidRPr="00034BDC">
        <w:rPr>
          <w:i/>
        </w:rPr>
        <w:t>dgmgrl</w:t>
      </w:r>
      <w:r w:rsidR="00D946BE">
        <w:t>) or through Oracle Enterprise Manager (OEM)</w:t>
      </w:r>
      <w:r>
        <w:t>.</w:t>
      </w:r>
    </w:p>
    <w:p w:rsidR="00196DCB" w:rsidRDefault="00196DCB" w:rsidP="00196DCB">
      <w:pPr>
        <w:pStyle w:val="Bullet"/>
      </w:pPr>
      <w:r>
        <w:t xml:space="preserve">Performs switchover or failover operations with a single command.  All the complexities involved in role reversals </w:t>
      </w:r>
      <w:r w:rsidR="00D946BE">
        <w:t xml:space="preserve">are </w:t>
      </w:r>
      <w:r>
        <w:t xml:space="preserve">managed by the Data Guard Broker. </w:t>
      </w:r>
    </w:p>
    <w:p w:rsidR="006E1AC3" w:rsidRDefault="006E1AC3" w:rsidP="00575A99">
      <w:pPr>
        <w:pStyle w:val="Bullet"/>
        <w:numPr>
          <w:ilvl w:val="0"/>
          <w:numId w:val="0"/>
        </w:numPr>
      </w:pPr>
    </w:p>
    <w:p w:rsidR="006E1AC3" w:rsidRDefault="00D946BE" w:rsidP="009F1386">
      <w:pPr>
        <w:pStyle w:val="Subhead2"/>
      </w:pPr>
      <w:r>
        <w:t xml:space="preserve">Physical Standby </w:t>
      </w:r>
      <w:r w:rsidR="006E1AC3">
        <w:t>Prerequisites</w:t>
      </w:r>
      <w:r>
        <w:t xml:space="preserve"> and Best Practices</w:t>
      </w:r>
    </w:p>
    <w:p w:rsidR="00040729" w:rsidRDefault="00040729" w:rsidP="006E1AC3">
      <w:pPr>
        <w:pStyle w:val="BodyCopy"/>
      </w:pPr>
      <w:r>
        <w:t xml:space="preserve">Oracle Data Guard </w:t>
      </w:r>
      <w:r w:rsidR="00034BDC">
        <w:t>offers lot of flexibility.  S</w:t>
      </w:r>
      <w:r w:rsidR="00575A99">
        <w:t>o the configuration details vary depending on the options chosen</w:t>
      </w:r>
      <w:r>
        <w:t xml:space="preserve">.  </w:t>
      </w:r>
      <w:r w:rsidR="00E609FE">
        <w:t xml:space="preserve">This </w:t>
      </w:r>
      <w:r w:rsidR="005B4B20">
        <w:t xml:space="preserve">article covers the prerequisites and best practices of a Physical Standby.  The reference architecture used in the examples </w:t>
      </w:r>
      <w:r w:rsidR="00E609FE">
        <w:t>is</w:t>
      </w:r>
      <w:r w:rsidR="005B4B20">
        <w:t xml:space="preserve"> as follows: </w:t>
      </w:r>
    </w:p>
    <w:p w:rsidR="00040729" w:rsidRDefault="00040729" w:rsidP="005C6266">
      <w:pPr>
        <w:pStyle w:val="Bullet"/>
      </w:pPr>
      <w:r>
        <w:t>Primary database</w:t>
      </w:r>
      <w:r w:rsidR="005B4B20">
        <w:t>: 2-node RAC</w:t>
      </w:r>
    </w:p>
    <w:p w:rsidR="00040729" w:rsidRDefault="00040729" w:rsidP="005C6266">
      <w:pPr>
        <w:pStyle w:val="Bullet"/>
      </w:pPr>
      <w:r>
        <w:t>Physical standby</w:t>
      </w:r>
      <w:r w:rsidR="005B4B20">
        <w:t>: 2-node RAC</w:t>
      </w:r>
    </w:p>
    <w:p w:rsidR="00040729" w:rsidRDefault="005B4B20" w:rsidP="005C6266">
      <w:pPr>
        <w:pStyle w:val="Bullet"/>
      </w:pPr>
      <w:r>
        <w:t xml:space="preserve">Storage:  </w:t>
      </w:r>
      <w:r w:rsidR="00040729">
        <w:t>Automatic Storage Management (ASM)  on Primary and Standby</w:t>
      </w:r>
    </w:p>
    <w:p w:rsidR="00040729" w:rsidRDefault="005B4B20" w:rsidP="005C6266">
      <w:pPr>
        <w:pStyle w:val="Bullet"/>
      </w:pPr>
      <w:r>
        <w:t xml:space="preserve">Management:  Data Guard Broker </w:t>
      </w:r>
    </w:p>
    <w:p w:rsidR="00402436" w:rsidRDefault="00402436" w:rsidP="006E1AC3">
      <w:pPr>
        <w:pStyle w:val="BodyCopy"/>
      </w:pPr>
    </w:p>
    <w:p w:rsidR="005D6057" w:rsidRDefault="005D6057" w:rsidP="009F1386">
      <w:pPr>
        <w:pStyle w:val="Subhead3"/>
      </w:pPr>
      <w:r>
        <w:lastRenderedPageBreak/>
        <w:t>Prerequisites and Best Practices</w:t>
      </w:r>
      <w:r w:rsidR="00D23763">
        <w:t xml:space="preserve"> for Physical Standby</w:t>
      </w:r>
    </w:p>
    <w:p w:rsidR="005B0025" w:rsidRPr="006E1AC3" w:rsidRDefault="006E1AC3" w:rsidP="005D6057">
      <w:pPr>
        <w:pStyle w:val="BodyCopy"/>
      </w:pPr>
      <w:r>
        <w:t xml:space="preserve">The following section outlines the </w:t>
      </w:r>
      <w:r w:rsidR="002E4749">
        <w:t xml:space="preserve">best practices </w:t>
      </w:r>
      <w:r w:rsidR="005B0025">
        <w:t xml:space="preserve">that </w:t>
      </w:r>
      <w:r w:rsidR="002E4749">
        <w:t xml:space="preserve">are based on Oracle Maximum Availability </w:t>
      </w:r>
      <w:r w:rsidR="002F0EF9" w:rsidRPr="002F0EF9">
        <w:rPr>
          <w:vertAlign w:val="superscript"/>
        </w:rPr>
        <w:t xml:space="preserve">[1] </w:t>
      </w:r>
      <w:r w:rsidR="002E4749">
        <w:t xml:space="preserve">guidelines.  </w:t>
      </w:r>
      <w:r w:rsidR="00040729">
        <w:t xml:space="preserve">Please refer to Oracle Data Guard Concepts and Administration </w:t>
      </w:r>
      <w:r w:rsidR="002F0EF9" w:rsidRPr="002F0EF9">
        <w:rPr>
          <w:vertAlign w:val="superscript"/>
        </w:rPr>
        <w:t>[2, 3]</w:t>
      </w:r>
      <w:r w:rsidR="00B95766">
        <w:t xml:space="preserve"> for</w:t>
      </w:r>
      <w:r w:rsidR="00040729">
        <w:t xml:space="preserve"> </w:t>
      </w:r>
      <w:r w:rsidR="00B95766">
        <w:t xml:space="preserve">in depth information. </w:t>
      </w:r>
    </w:p>
    <w:p w:rsidR="00040729" w:rsidRDefault="006E1AC3" w:rsidP="005B0025">
      <w:pPr>
        <w:pStyle w:val="Bullet"/>
      </w:pPr>
      <w:r>
        <w:t xml:space="preserve">All </w:t>
      </w:r>
      <w:r w:rsidR="005B0025">
        <w:t xml:space="preserve">the </w:t>
      </w:r>
      <w:r>
        <w:t>members of a Data Guard configuration</w:t>
      </w:r>
      <w:r w:rsidR="00B95766">
        <w:t xml:space="preserve"> </w:t>
      </w:r>
      <w:r>
        <w:t xml:space="preserve">must run an Oracle image that </w:t>
      </w:r>
      <w:r w:rsidR="00040729">
        <w:t xml:space="preserve">is built for the same platform.  </w:t>
      </w:r>
      <w:r w:rsidR="003C2CE9" w:rsidRPr="003C2CE9">
        <w:t xml:space="preserve">The operating system running on the primary and standby locations must be the same, but the operating system release does not need to be the same. </w:t>
      </w:r>
    </w:p>
    <w:p w:rsidR="003C2CE9" w:rsidRDefault="003C2CE9" w:rsidP="005B0025">
      <w:pPr>
        <w:pStyle w:val="Bullet"/>
      </w:pPr>
      <w:r>
        <w:t>T</w:t>
      </w:r>
      <w:r w:rsidRPr="003C2CE9">
        <w:t>he same release of Oracle Database Enterprise Edition must be installed on the primary database and all standby databases in a Data Guard configuration.</w:t>
      </w:r>
    </w:p>
    <w:p w:rsidR="002A2BB4" w:rsidRDefault="002A2BB4" w:rsidP="005B0025">
      <w:pPr>
        <w:pStyle w:val="Bullet"/>
      </w:pPr>
      <w:r>
        <w:t>T</w:t>
      </w:r>
      <w:r w:rsidRPr="003C2CE9">
        <w:t>he standby database can use a different directory structure from the primary database.</w:t>
      </w:r>
    </w:p>
    <w:p w:rsidR="007262A5" w:rsidRDefault="007262A5" w:rsidP="005B0025">
      <w:pPr>
        <w:pStyle w:val="Bullet"/>
      </w:pPr>
      <w:r>
        <w:t xml:space="preserve">Initialization parameters, </w:t>
      </w:r>
      <w:r w:rsidR="00705E24" w:rsidRPr="00705E24">
        <w:rPr>
          <w:i/>
        </w:rPr>
        <w:t>compatible</w:t>
      </w:r>
      <w:r>
        <w:t xml:space="preserve">, </w:t>
      </w:r>
      <w:r w:rsidR="00705E24">
        <w:rPr>
          <w:i/>
        </w:rPr>
        <w:t xml:space="preserve">log_archive_format </w:t>
      </w:r>
      <w:r w:rsidR="005B0025">
        <w:t>and</w:t>
      </w:r>
      <w:r w:rsidR="005D6057">
        <w:t xml:space="preserve"> </w:t>
      </w:r>
      <w:r w:rsidR="00705E24">
        <w:rPr>
          <w:i/>
        </w:rPr>
        <w:t xml:space="preserve">log_archive_config </w:t>
      </w:r>
      <w:r>
        <w:t xml:space="preserve">need to be same on both primary and standby. </w:t>
      </w:r>
    </w:p>
    <w:p w:rsidR="005B0025" w:rsidRDefault="005B0025" w:rsidP="005B0025">
      <w:pPr>
        <w:pStyle w:val="Bullet"/>
      </w:pPr>
      <w:r w:rsidRPr="005B0025">
        <w:t>LOG_ARCHIVE_CONFIG</w:t>
      </w:r>
      <w:r>
        <w:t xml:space="preserve"> initialization parameter need to include the </w:t>
      </w:r>
      <w:r w:rsidRPr="00705E24">
        <w:rPr>
          <w:i/>
        </w:rPr>
        <w:t>db_unique_name</w:t>
      </w:r>
      <w:r w:rsidRPr="005B0025">
        <w:t xml:space="preserve"> </w:t>
      </w:r>
      <w:r>
        <w:t>of all the databases in the configuration</w:t>
      </w:r>
      <w:r w:rsidR="00FD7925">
        <w:t>.</w:t>
      </w:r>
    </w:p>
    <w:p w:rsidR="00040729" w:rsidRDefault="003C2CE9" w:rsidP="005B0025">
      <w:pPr>
        <w:pStyle w:val="Bullet"/>
      </w:pPr>
      <w:r w:rsidRPr="003C2CE9">
        <w:t xml:space="preserve">The primary database must run in </w:t>
      </w:r>
      <w:r w:rsidRPr="00705E24">
        <w:t>ARCHIVELOG</w:t>
      </w:r>
      <w:r w:rsidRPr="003C2CE9">
        <w:t xml:space="preserve"> mode</w:t>
      </w:r>
      <w:r w:rsidR="00C1188C">
        <w:t xml:space="preserve"> and use </w:t>
      </w:r>
      <w:r w:rsidR="00040729" w:rsidRPr="00705E24">
        <w:t>FORCE LOGGING</w:t>
      </w:r>
      <w:r w:rsidR="00C1188C">
        <w:t>.</w:t>
      </w:r>
    </w:p>
    <w:p w:rsidR="00C1188C" w:rsidRDefault="00C1188C" w:rsidP="005B0025">
      <w:pPr>
        <w:pStyle w:val="Bullet"/>
      </w:pPr>
      <w:r>
        <w:t xml:space="preserve">Set the </w:t>
      </w:r>
      <w:r w:rsidR="00705E24">
        <w:rPr>
          <w:i/>
        </w:rPr>
        <w:t xml:space="preserve">db_unique_name </w:t>
      </w:r>
      <w:r>
        <w:t xml:space="preserve">initialization parameter for standby database.  For example, if primary database is </w:t>
      </w:r>
      <w:r w:rsidRPr="005B0025">
        <w:t>testp</w:t>
      </w:r>
      <w:r>
        <w:t xml:space="preserve">,  set </w:t>
      </w:r>
      <w:r w:rsidRPr="00705E24">
        <w:rPr>
          <w:i/>
        </w:rPr>
        <w:t>db_unique_name</w:t>
      </w:r>
      <w:r>
        <w:t xml:space="preserve"> for standby as </w:t>
      </w:r>
      <w:r w:rsidRPr="005B0025">
        <w:t>testp_dr</w:t>
      </w:r>
      <w:r w:rsidR="00FD7925">
        <w:t>.</w:t>
      </w:r>
    </w:p>
    <w:p w:rsidR="003C2CE9" w:rsidRDefault="003C2CE9" w:rsidP="005B0025">
      <w:pPr>
        <w:pStyle w:val="Bullet"/>
      </w:pPr>
      <w:r>
        <w:t xml:space="preserve">When Oracle Automatic Storage Management (ASM) and Oracle Managed Files (OMF) are used in a Data Guard configuration, set it up symmetrically on the primary and standby database. That is, if any database in the Data Guard configuration uses ASM, OMF, or both, then every database in the configuration should use ASM, OMF, or both, respectively. </w:t>
      </w:r>
    </w:p>
    <w:p w:rsidR="00040729" w:rsidRDefault="002E4749" w:rsidP="005B0025">
      <w:pPr>
        <w:pStyle w:val="Bullet"/>
      </w:pPr>
      <w:r>
        <w:t xml:space="preserve">Use </w:t>
      </w:r>
      <w:r w:rsidR="00705E24">
        <w:rPr>
          <w:i/>
        </w:rPr>
        <w:t xml:space="preserve">db_file_name_convert </w:t>
      </w:r>
      <w:r w:rsidR="00705E24">
        <w:t xml:space="preserve">and </w:t>
      </w:r>
      <w:r w:rsidR="00705E24">
        <w:rPr>
          <w:i/>
        </w:rPr>
        <w:t xml:space="preserve">log_file_name_convert </w:t>
      </w:r>
      <w:r w:rsidR="003C2CE9">
        <w:t xml:space="preserve">initialization parameters </w:t>
      </w:r>
      <w:r w:rsidR="005D6057">
        <w:t xml:space="preserve">if the directory structure on primary and standby are different. </w:t>
      </w:r>
    </w:p>
    <w:p w:rsidR="006A2D0B" w:rsidRDefault="009235C1" w:rsidP="005B0025">
      <w:pPr>
        <w:pStyle w:val="Bullet"/>
      </w:pPr>
      <w:r>
        <w:t xml:space="preserve">Set </w:t>
      </w:r>
      <w:r w:rsidR="00705E24">
        <w:rPr>
          <w:i/>
        </w:rPr>
        <w:t>log_</w:t>
      </w:r>
      <w:r w:rsidR="0047279B">
        <w:rPr>
          <w:i/>
        </w:rPr>
        <w:t>archive_</w:t>
      </w:r>
      <w:r w:rsidR="00705E24">
        <w:rPr>
          <w:i/>
        </w:rPr>
        <w:t xml:space="preserve">max_processes </w:t>
      </w:r>
      <w:r w:rsidR="00217085">
        <w:t>to 30</w:t>
      </w:r>
      <w:r w:rsidR="00FD7925">
        <w:t>.</w:t>
      </w:r>
    </w:p>
    <w:p w:rsidR="00352FCF" w:rsidRDefault="009235C1" w:rsidP="005B0025">
      <w:pPr>
        <w:pStyle w:val="Bullet"/>
      </w:pPr>
      <w:r>
        <w:t xml:space="preserve">Set </w:t>
      </w:r>
      <w:r w:rsidR="00705E24">
        <w:rPr>
          <w:i/>
        </w:rPr>
        <w:t>remote_login_passwordfile</w:t>
      </w:r>
      <w:r w:rsidRPr="005B0025">
        <w:t xml:space="preserve"> </w:t>
      </w:r>
      <w:r>
        <w:t xml:space="preserve">to </w:t>
      </w:r>
      <w:r w:rsidR="00352FCF" w:rsidRPr="00352FCF">
        <w:t>EXCLUSIVE</w:t>
      </w:r>
      <w:r w:rsidR="00FD7925">
        <w:t>.</w:t>
      </w:r>
    </w:p>
    <w:p w:rsidR="006A2D0B" w:rsidRDefault="009235C1" w:rsidP="005B0025">
      <w:pPr>
        <w:pStyle w:val="Bullet"/>
      </w:pPr>
      <w:r>
        <w:t xml:space="preserve">Set </w:t>
      </w:r>
      <w:r w:rsidR="005D6057">
        <w:t>SQLNET</w:t>
      </w:r>
      <w:r w:rsidR="000C5FE6">
        <w:t>.EXPIRE_TIME=1</w:t>
      </w:r>
      <w:r w:rsidR="00705E24">
        <w:t xml:space="preserve"> in </w:t>
      </w:r>
      <w:r w:rsidR="00705E24" w:rsidRPr="00705E24">
        <w:rPr>
          <w:i/>
        </w:rPr>
        <w:t>sqlnet.ora</w:t>
      </w:r>
      <w:r w:rsidR="00705E24">
        <w:t xml:space="preserve"> file</w:t>
      </w:r>
      <w:r w:rsidR="00FD7925">
        <w:t>.</w:t>
      </w:r>
    </w:p>
    <w:p w:rsidR="00402436" w:rsidRDefault="00402436" w:rsidP="005B0025">
      <w:pPr>
        <w:pStyle w:val="BodyCopy"/>
      </w:pPr>
    </w:p>
    <w:p w:rsidR="005E1135" w:rsidRDefault="005E1135" w:rsidP="009F1386">
      <w:pPr>
        <w:pStyle w:val="Subhead3"/>
      </w:pPr>
      <w:r>
        <w:t xml:space="preserve">Pre-requisites </w:t>
      </w:r>
      <w:r w:rsidR="00374C11">
        <w:t xml:space="preserve">for </w:t>
      </w:r>
      <w:r>
        <w:t xml:space="preserve">using </w:t>
      </w:r>
      <w:r w:rsidR="00374C11">
        <w:t xml:space="preserve">Data Guard </w:t>
      </w:r>
      <w:r>
        <w:t>Broker</w:t>
      </w:r>
    </w:p>
    <w:p w:rsidR="005E1135" w:rsidRDefault="00402436" w:rsidP="005B0025">
      <w:pPr>
        <w:pStyle w:val="Bullet"/>
      </w:pPr>
      <w:r>
        <w:t xml:space="preserve">Use </w:t>
      </w:r>
      <w:r w:rsidR="00FD7925">
        <w:t xml:space="preserve">a </w:t>
      </w:r>
      <w:r w:rsidR="005E1135">
        <w:t xml:space="preserve">server parameter file (SPFILE) to ensure the broker can persistently reconcile values between broker properties and any related initialization parameter values. </w:t>
      </w:r>
    </w:p>
    <w:p w:rsidR="005E1135" w:rsidRDefault="005E1135" w:rsidP="005B0025">
      <w:pPr>
        <w:pStyle w:val="Bullet"/>
      </w:pPr>
      <w:r>
        <w:t xml:space="preserve">The value of the </w:t>
      </w:r>
      <w:r w:rsidR="00461F02">
        <w:rPr>
          <w:i/>
        </w:rPr>
        <w:t>dg_broker_</w:t>
      </w:r>
      <w:r w:rsidR="00461F02" w:rsidRPr="00461F02">
        <w:rPr>
          <w:i/>
        </w:rPr>
        <w:t>start</w:t>
      </w:r>
      <w:r w:rsidR="00461F02">
        <w:rPr>
          <w:i/>
        </w:rPr>
        <w:t xml:space="preserve"> </w:t>
      </w:r>
      <w:r>
        <w:t xml:space="preserve">parameter must be set to TRUE. </w:t>
      </w:r>
    </w:p>
    <w:p w:rsidR="005E1135" w:rsidRDefault="002E4749" w:rsidP="005B0025">
      <w:pPr>
        <w:pStyle w:val="Bullet"/>
      </w:pPr>
      <w:r>
        <w:t xml:space="preserve">For </w:t>
      </w:r>
      <w:r w:rsidR="005E1135">
        <w:t xml:space="preserve">a RAC database, set the </w:t>
      </w:r>
      <w:r w:rsidR="00461F02">
        <w:rPr>
          <w:i/>
        </w:rPr>
        <w:t xml:space="preserve">dg_broker_config_file1 </w:t>
      </w:r>
      <w:r w:rsidR="00461F02">
        <w:t xml:space="preserve">and </w:t>
      </w:r>
      <w:r w:rsidR="00461F02">
        <w:rPr>
          <w:i/>
        </w:rPr>
        <w:t>dg_broker_config_file2</w:t>
      </w:r>
      <w:r w:rsidR="005E1135">
        <w:t xml:space="preserve"> initialization parameters for that database such that they point to the same shared files for all instances of that database. The default values for these parameters will not work. </w:t>
      </w:r>
      <w:r w:rsidR="00461F02" w:rsidRPr="00461F02">
        <w:t>These parameters must specify a raw device, ASM file, or cluster file system file that resolves to the same set of physical files for all RAC instances.</w:t>
      </w:r>
    </w:p>
    <w:p w:rsidR="005E1135" w:rsidRDefault="00461F02" w:rsidP="00461F02">
      <w:pPr>
        <w:pStyle w:val="Bullet"/>
      </w:pPr>
      <w:r>
        <w:t xml:space="preserve">For RAC database, the START_OPTIONS for that database must be set to MOUNT in the Oracle Cluster Repository (OCR) using srvctl.  </w:t>
      </w:r>
    </w:p>
    <w:p w:rsidR="006A2D0B" w:rsidRDefault="005E1135" w:rsidP="005B0025">
      <w:pPr>
        <w:pStyle w:val="Bullet"/>
      </w:pPr>
      <w:r>
        <w:t xml:space="preserve">The </w:t>
      </w:r>
      <w:r w:rsidRPr="005B0025">
        <w:t>LOCAL_LISTENER</w:t>
      </w:r>
      <w:r>
        <w:t xml:space="preserve"> initialization parameter on each instance that is part of a Data Guard broker configuration must resolve to a listener address that is reachable by all members of the configuration. </w:t>
      </w:r>
      <w:r w:rsidR="006A2D0B">
        <w:t xml:space="preserve">LOCAL_LISTENER initialization parameter need to be setup </w:t>
      </w:r>
      <w:r w:rsidR="00FD7925">
        <w:t>i</w:t>
      </w:r>
      <w:r w:rsidR="006A2D0B">
        <w:t>f a non-default port number (1521) is used in the listener address</w:t>
      </w:r>
      <w:r w:rsidR="00FD7925">
        <w:t>.</w:t>
      </w:r>
    </w:p>
    <w:p w:rsidR="00402436" w:rsidRDefault="005E1135" w:rsidP="005B0025">
      <w:pPr>
        <w:pStyle w:val="Bullet"/>
      </w:pPr>
      <w:r>
        <w:t xml:space="preserve">To enable the Data Guard broker's Command Line Interface (CLI) to restart instances during the course of broker operations, a service with a specific name must be statically registered with the local listener of each instance. The value for the GLOBAL_DBNAME attribute must be set to a concatenation of &lt;db_unique_name&gt;_&lt;DGMGRL&gt;.&lt;db_domain&gt;. </w:t>
      </w:r>
    </w:p>
    <w:p w:rsidR="005E1135" w:rsidRDefault="005E1135" w:rsidP="00402436">
      <w:pPr>
        <w:pStyle w:val="BodyCopy"/>
        <w:ind w:left="720"/>
      </w:pPr>
      <w:r>
        <w:t>For example, in the listener.ora file:</w:t>
      </w:r>
    </w:p>
    <w:p w:rsidR="005E1135" w:rsidRPr="005E1135" w:rsidRDefault="005E1135" w:rsidP="002E4749">
      <w:pPr>
        <w:pStyle w:val="BodyCopy"/>
        <w:ind w:left="1440" w:hanging="360"/>
        <w:rPr>
          <w:rFonts w:ascii="Courier New" w:hAnsi="Courier New" w:cs="Courier New"/>
        </w:rPr>
      </w:pPr>
      <w:r w:rsidRPr="005E1135">
        <w:rPr>
          <w:rFonts w:ascii="Courier New" w:hAnsi="Courier New" w:cs="Courier New"/>
        </w:rPr>
        <w:t xml:space="preserve">LISTENER = (DESCRIPTION = </w:t>
      </w:r>
    </w:p>
    <w:p w:rsidR="005E1135" w:rsidRPr="005E1135" w:rsidRDefault="005E1135" w:rsidP="002E4749">
      <w:pPr>
        <w:pStyle w:val="BodyCopy"/>
        <w:ind w:left="1440" w:hanging="360"/>
        <w:rPr>
          <w:rFonts w:ascii="Courier New" w:hAnsi="Courier New" w:cs="Courier New"/>
        </w:rPr>
      </w:pPr>
      <w:r w:rsidRPr="005E1135">
        <w:rPr>
          <w:rFonts w:ascii="Courier New" w:hAnsi="Courier New" w:cs="Courier New"/>
        </w:rPr>
        <w:t>(ADDRESS_LIST=(ADDRESS=(PROTOCOL=tcp)(HOST=host_name)</w:t>
      </w:r>
    </w:p>
    <w:p w:rsidR="005E1135" w:rsidRPr="005E1135" w:rsidRDefault="005E1135" w:rsidP="002E4749">
      <w:pPr>
        <w:pStyle w:val="BodyCopy"/>
        <w:ind w:left="1440" w:hanging="360"/>
        <w:rPr>
          <w:rFonts w:ascii="Courier New" w:hAnsi="Courier New" w:cs="Courier New"/>
        </w:rPr>
      </w:pPr>
      <w:r w:rsidRPr="005E1135">
        <w:rPr>
          <w:rFonts w:ascii="Courier New" w:hAnsi="Courier New" w:cs="Courier New"/>
        </w:rPr>
        <w:t>(PORT=port_num))))</w:t>
      </w:r>
    </w:p>
    <w:p w:rsidR="005E1135" w:rsidRPr="005E1135" w:rsidRDefault="005E1135" w:rsidP="002E4749">
      <w:pPr>
        <w:pStyle w:val="BodyCopy"/>
        <w:ind w:left="1440" w:hanging="360"/>
        <w:rPr>
          <w:rFonts w:ascii="Courier New" w:hAnsi="Courier New" w:cs="Courier New"/>
        </w:rPr>
      </w:pPr>
      <w:r w:rsidRPr="005E1135">
        <w:rPr>
          <w:rFonts w:ascii="Courier New" w:hAnsi="Courier New" w:cs="Courier New"/>
        </w:rPr>
        <w:lastRenderedPageBreak/>
        <w:t>SID_LIST_LISTENER=(SID_LIST=(SID_DESC=(SID_NAME=sid_name)</w:t>
      </w:r>
    </w:p>
    <w:p w:rsidR="005E1135" w:rsidRPr="001442B2" w:rsidRDefault="005E1135" w:rsidP="002E4749">
      <w:pPr>
        <w:pStyle w:val="BodyCopy"/>
        <w:ind w:left="1440" w:hanging="360"/>
        <w:rPr>
          <w:rFonts w:ascii="Courier New" w:hAnsi="Courier New" w:cs="Courier New"/>
          <w:b/>
          <w:i/>
        </w:rPr>
      </w:pPr>
      <w:r w:rsidRPr="001442B2">
        <w:rPr>
          <w:rFonts w:ascii="Courier New" w:hAnsi="Courier New" w:cs="Courier New"/>
          <w:b/>
          <w:i/>
        </w:rPr>
        <w:t>(GLOBAL_DBNAME=db_unique_name_DGMGRL.db_domain)</w:t>
      </w:r>
    </w:p>
    <w:p w:rsidR="005E1135" w:rsidRPr="005E1135" w:rsidRDefault="005E1135" w:rsidP="002E4749">
      <w:pPr>
        <w:pStyle w:val="BodyCopy"/>
        <w:ind w:left="1440" w:hanging="360"/>
        <w:rPr>
          <w:rFonts w:ascii="Courier New" w:hAnsi="Courier New" w:cs="Courier New"/>
        </w:rPr>
      </w:pPr>
      <w:r w:rsidRPr="005E1135">
        <w:rPr>
          <w:rFonts w:ascii="Courier New" w:hAnsi="Courier New" w:cs="Courier New"/>
        </w:rPr>
        <w:t>(ORACLE_HOME=oracle_home)))</w:t>
      </w:r>
    </w:p>
    <w:p w:rsidR="004C39B6" w:rsidRDefault="002E4749" w:rsidP="005B0025">
      <w:pPr>
        <w:pStyle w:val="Bullet"/>
      </w:pPr>
      <w:r>
        <w:t>Primary and standby databases need to have same SYS password</w:t>
      </w:r>
      <w:r w:rsidR="00FD7925">
        <w:t>.</w:t>
      </w:r>
    </w:p>
    <w:p w:rsidR="008157FC" w:rsidRPr="004C39B6" w:rsidRDefault="008157FC" w:rsidP="004C39B6">
      <w:pPr>
        <w:pStyle w:val="BodyCopy"/>
        <w:ind w:left="720"/>
      </w:pPr>
      <w:r w:rsidRPr="004C39B6">
        <w:rPr>
          <w:i/>
        </w:rPr>
        <w:tab/>
        <w:t xml:space="preserve"> </w:t>
      </w:r>
    </w:p>
    <w:p w:rsidR="004C39B6" w:rsidRDefault="00AA097A" w:rsidP="009F1386">
      <w:pPr>
        <w:pStyle w:val="Subhead2"/>
      </w:pPr>
      <w:r>
        <w:t xml:space="preserve">Sample Physical Standby </w:t>
      </w:r>
      <w:r w:rsidR="004C39B6">
        <w:t>Configu</w:t>
      </w:r>
      <w:r w:rsidR="00E37E76">
        <w:t>ration</w:t>
      </w:r>
    </w:p>
    <w:p w:rsidR="004C39B6" w:rsidRDefault="004C39B6" w:rsidP="004C39B6">
      <w:pPr>
        <w:pStyle w:val="BodyCopy"/>
      </w:pPr>
      <w:r>
        <w:t xml:space="preserve">The following section shows an example </w:t>
      </w:r>
      <w:r w:rsidR="00E37E76">
        <w:t xml:space="preserve">of </w:t>
      </w:r>
      <w:r>
        <w:t>configuration settings</w:t>
      </w:r>
      <w:r w:rsidR="00AA097A">
        <w:t xml:space="preserve"> for a typical RAC Data Guard configuration</w:t>
      </w:r>
    </w:p>
    <w:p w:rsidR="002A2BB4" w:rsidRDefault="002A2BB4" w:rsidP="002A2BB4">
      <w:pPr>
        <w:pStyle w:val="Default"/>
        <w:tabs>
          <w:tab w:val="left" w:pos="8916"/>
        </w:tabs>
        <w:rPr>
          <w:sz w:val="20"/>
          <w:szCs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0"/>
        <w:gridCol w:w="3690"/>
        <w:gridCol w:w="3780"/>
      </w:tblGrid>
      <w:tr w:rsidR="002A2BB4" w:rsidRPr="00AA097A" w:rsidTr="00E37E76">
        <w:tc>
          <w:tcPr>
            <w:tcW w:w="2610" w:type="dxa"/>
          </w:tcPr>
          <w:p w:rsidR="002A2BB4" w:rsidRPr="00AA097A" w:rsidRDefault="002A2BB4" w:rsidP="003F3119">
            <w:pPr>
              <w:pStyle w:val="Default"/>
              <w:jc w:val="center"/>
              <w:rPr>
                <w:rFonts w:ascii="Garamond" w:hAnsi="Garamond"/>
                <w:sz w:val="20"/>
                <w:szCs w:val="20"/>
              </w:rPr>
            </w:pPr>
            <w:r w:rsidRPr="00AA097A">
              <w:rPr>
                <w:rFonts w:ascii="Garamond" w:hAnsi="Garamond"/>
                <w:b/>
                <w:bCs/>
                <w:sz w:val="20"/>
                <w:szCs w:val="20"/>
              </w:rPr>
              <w:t xml:space="preserve">Property </w:t>
            </w:r>
          </w:p>
        </w:tc>
        <w:tc>
          <w:tcPr>
            <w:tcW w:w="3690" w:type="dxa"/>
          </w:tcPr>
          <w:p w:rsidR="002A2BB4" w:rsidRPr="00AA097A" w:rsidRDefault="002A2BB4" w:rsidP="003F3119">
            <w:pPr>
              <w:pStyle w:val="Default"/>
              <w:jc w:val="center"/>
              <w:rPr>
                <w:rFonts w:ascii="Garamond" w:hAnsi="Garamond"/>
                <w:sz w:val="20"/>
                <w:szCs w:val="20"/>
              </w:rPr>
            </w:pPr>
            <w:r w:rsidRPr="00AA097A">
              <w:rPr>
                <w:rFonts w:ascii="Garamond" w:hAnsi="Garamond"/>
                <w:b/>
                <w:bCs/>
                <w:sz w:val="20"/>
                <w:szCs w:val="20"/>
              </w:rPr>
              <w:t xml:space="preserve">Primary </w:t>
            </w:r>
            <w:r w:rsidR="004C39B6" w:rsidRPr="00AA097A">
              <w:rPr>
                <w:rFonts w:ascii="Garamond" w:hAnsi="Garamond"/>
                <w:b/>
                <w:bCs/>
                <w:sz w:val="20"/>
                <w:szCs w:val="20"/>
              </w:rPr>
              <w:t>(2-node RAC)</w:t>
            </w:r>
          </w:p>
        </w:tc>
        <w:tc>
          <w:tcPr>
            <w:tcW w:w="3780" w:type="dxa"/>
          </w:tcPr>
          <w:p w:rsidR="002A2BB4" w:rsidRPr="00AA097A" w:rsidRDefault="002A2BB4" w:rsidP="003F3119">
            <w:pPr>
              <w:pStyle w:val="Default"/>
              <w:jc w:val="center"/>
              <w:rPr>
                <w:rFonts w:ascii="Garamond" w:hAnsi="Garamond"/>
                <w:sz w:val="20"/>
                <w:szCs w:val="20"/>
              </w:rPr>
            </w:pPr>
            <w:r w:rsidRPr="00AA097A">
              <w:rPr>
                <w:rFonts w:ascii="Garamond" w:hAnsi="Garamond"/>
                <w:b/>
                <w:bCs/>
                <w:sz w:val="20"/>
                <w:szCs w:val="20"/>
              </w:rPr>
              <w:t xml:space="preserve">Standby </w:t>
            </w:r>
            <w:r w:rsidR="004C39B6" w:rsidRPr="00AA097A">
              <w:rPr>
                <w:rFonts w:ascii="Garamond" w:hAnsi="Garamond"/>
                <w:b/>
                <w:bCs/>
                <w:sz w:val="20"/>
                <w:szCs w:val="20"/>
              </w:rPr>
              <w:t>(2-node RAC)</w:t>
            </w: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 xml:space="preserve">Host names </w:t>
            </w:r>
          </w:p>
        </w:tc>
        <w:tc>
          <w:tcPr>
            <w:tcW w:w="3690" w:type="dxa"/>
          </w:tcPr>
          <w:p w:rsidR="002A2BB4" w:rsidRPr="00AA097A" w:rsidRDefault="002A2BB4" w:rsidP="002A2BB4">
            <w:pPr>
              <w:pStyle w:val="Default"/>
              <w:rPr>
                <w:rFonts w:ascii="Courier New" w:hAnsi="Courier New" w:cs="Courier New"/>
                <w:sz w:val="16"/>
                <w:szCs w:val="16"/>
              </w:rPr>
            </w:pPr>
            <w:r w:rsidRPr="00AA097A">
              <w:rPr>
                <w:rFonts w:ascii="Courier New" w:hAnsi="Courier New" w:cs="Courier New"/>
                <w:sz w:val="16"/>
                <w:szCs w:val="16"/>
              </w:rPr>
              <w:t xml:space="preserve">gdmsengdb05 </w:t>
            </w:r>
          </w:p>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gdmsengdb06 </w:t>
            </w:r>
          </w:p>
        </w:tc>
        <w:tc>
          <w:tcPr>
            <w:tcW w:w="3780" w:type="dxa"/>
          </w:tcPr>
          <w:p w:rsidR="00AA097A"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gdmsengdbrdb05 </w:t>
            </w:r>
          </w:p>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gdmsengdbrdb06 </w:t>
            </w: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 xml:space="preserve">db_name </w:t>
            </w:r>
          </w:p>
        </w:tc>
        <w:tc>
          <w:tcPr>
            <w:tcW w:w="369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r264s </w:t>
            </w:r>
          </w:p>
        </w:tc>
        <w:tc>
          <w:tcPr>
            <w:tcW w:w="378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r264s </w:t>
            </w: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 xml:space="preserve">Instance names </w:t>
            </w:r>
          </w:p>
        </w:tc>
        <w:tc>
          <w:tcPr>
            <w:tcW w:w="369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r264s1 and r264s2 </w:t>
            </w:r>
          </w:p>
        </w:tc>
        <w:tc>
          <w:tcPr>
            <w:tcW w:w="378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r264s1 and r264s2 </w:t>
            </w:r>
          </w:p>
        </w:tc>
      </w:tr>
      <w:tr w:rsidR="002A2BB4" w:rsidRPr="003F3119" w:rsidTr="00E37E76">
        <w:tc>
          <w:tcPr>
            <w:tcW w:w="2610" w:type="dxa"/>
          </w:tcPr>
          <w:p w:rsidR="00217085" w:rsidRPr="00AA097A" w:rsidRDefault="002A2BB4" w:rsidP="003F3119">
            <w:pPr>
              <w:pStyle w:val="Default"/>
              <w:rPr>
                <w:rFonts w:ascii="Garamond" w:hAnsi="Garamond"/>
                <w:sz w:val="20"/>
                <w:szCs w:val="20"/>
              </w:rPr>
            </w:pPr>
            <w:r w:rsidRPr="00AA097A">
              <w:rPr>
                <w:rFonts w:ascii="Garamond" w:hAnsi="Garamond"/>
                <w:sz w:val="20"/>
                <w:szCs w:val="20"/>
              </w:rPr>
              <w:t xml:space="preserve">db_unique_name </w:t>
            </w:r>
          </w:p>
          <w:p w:rsidR="002A2BB4" w:rsidRPr="00AA097A" w:rsidRDefault="002A2BB4" w:rsidP="003F3119">
            <w:pPr>
              <w:pStyle w:val="Default"/>
              <w:rPr>
                <w:rFonts w:ascii="Garamond" w:hAnsi="Garamond"/>
                <w:sz w:val="20"/>
                <w:szCs w:val="20"/>
              </w:rPr>
            </w:pPr>
            <w:r w:rsidRPr="00AA097A">
              <w:rPr>
                <w:rFonts w:ascii="Garamond" w:hAnsi="Garamond"/>
                <w:sz w:val="20"/>
                <w:szCs w:val="20"/>
              </w:rPr>
              <w:t xml:space="preserve">(Database unique name) </w:t>
            </w:r>
          </w:p>
        </w:tc>
        <w:tc>
          <w:tcPr>
            <w:tcW w:w="369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r264s </w:t>
            </w:r>
          </w:p>
        </w:tc>
        <w:tc>
          <w:tcPr>
            <w:tcW w:w="378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r264s_dr </w:t>
            </w: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 xml:space="preserve">db_domain </w:t>
            </w:r>
          </w:p>
        </w:tc>
        <w:tc>
          <w:tcPr>
            <w:tcW w:w="3690" w:type="dxa"/>
          </w:tcPr>
          <w:p w:rsidR="002A2BB4" w:rsidRPr="00AA097A" w:rsidRDefault="00C23B09" w:rsidP="00C23B09">
            <w:pPr>
              <w:pStyle w:val="Default"/>
              <w:rPr>
                <w:rFonts w:ascii="Courier New" w:hAnsi="Courier New" w:cs="Courier New"/>
                <w:sz w:val="16"/>
                <w:szCs w:val="16"/>
              </w:rPr>
            </w:pPr>
            <w:r w:rsidRPr="00AA097A">
              <w:rPr>
                <w:rFonts w:ascii="Courier New" w:hAnsi="Courier New" w:cs="Courier New"/>
                <w:sz w:val="16"/>
                <w:szCs w:val="16"/>
              </w:rPr>
              <w:t>prd</w:t>
            </w:r>
            <w:r w:rsidR="002A2BB4" w:rsidRPr="00AA097A">
              <w:rPr>
                <w:rFonts w:ascii="Courier New" w:hAnsi="Courier New" w:cs="Courier New"/>
                <w:sz w:val="16"/>
                <w:szCs w:val="16"/>
              </w:rPr>
              <w:t xml:space="preserve">.dell.com </w:t>
            </w:r>
          </w:p>
        </w:tc>
        <w:tc>
          <w:tcPr>
            <w:tcW w:w="3780" w:type="dxa"/>
          </w:tcPr>
          <w:p w:rsidR="002A2BB4" w:rsidRPr="00AA097A" w:rsidRDefault="00C23B09" w:rsidP="00C23B09">
            <w:pPr>
              <w:pStyle w:val="Default"/>
              <w:rPr>
                <w:rFonts w:ascii="Courier New" w:hAnsi="Courier New" w:cs="Courier New"/>
                <w:sz w:val="16"/>
                <w:szCs w:val="16"/>
              </w:rPr>
            </w:pPr>
            <w:r w:rsidRPr="00AA097A">
              <w:rPr>
                <w:rFonts w:ascii="Courier New" w:hAnsi="Courier New" w:cs="Courier New"/>
                <w:sz w:val="16"/>
                <w:szCs w:val="16"/>
              </w:rPr>
              <w:t>dr</w:t>
            </w:r>
            <w:r w:rsidR="002A2BB4" w:rsidRPr="00AA097A">
              <w:rPr>
                <w:rFonts w:ascii="Courier New" w:hAnsi="Courier New" w:cs="Courier New"/>
                <w:sz w:val="16"/>
                <w:szCs w:val="16"/>
              </w:rPr>
              <w:t xml:space="preserve">.dell.com </w:t>
            </w: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 xml:space="preserve">Global database name </w:t>
            </w:r>
          </w:p>
        </w:tc>
        <w:tc>
          <w:tcPr>
            <w:tcW w:w="3690" w:type="dxa"/>
          </w:tcPr>
          <w:p w:rsidR="002A2BB4" w:rsidRPr="00AA097A" w:rsidRDefault="002A2BB4" w:rsidP="00C23B09">
            <w:pPr>
              <w:pStyle w:val="Default"/>
              <w:rPr>
                <w:rFonts w:ascii="Courier New" w:hAnsi="Courier New" w:cs="Courier New"/>
                <w:sz w:val="16"/>
                <w:szCs w:val="16"/>
              </w:rPr>
            </w:pPr>
            <w:r w:rsidRPr="00AA097A">
              <w:rPr>
                <w:rFonts w:ascii="Courier New" w:hAnsi="Courier New" w:cs="Courier New"/>
                <w:sz w:val="16"/>
                <w:szCs w:val="16"/>
              </w:rPr>
              <w:t xml:space="preserve">r264s.prd.dell.com </w:t>
            </w:r>
          </w:p>
        </w:tc>
        <w:tc>
          <w:tcPr>
            <w:tcW w:w="3780" w:type="dxa"/>
          </w:tcPr>
          <w:p w:rsidR="002A2BB4" w:rsidRPr="00AA097A" w:rsidRDefault="002A2BB4" w:rsidP="00C23B09">
            <w:pPr>
              <w:pStyle w:val="Default"/>
              <w:rPr>
                <w:rFonts w:ascii="Courier New" w:hAnsi="Courier New" w:cs="Courier New"/>
                <w:sz w:val="16"/>
                <w:szCs w:val="16"/>
              </w:rPr>
            </w:pPr>
            <w:r w:rsidRPr="00AA097A">
              <w:rPr>
                <w:rFonts w:ascii="Courier New" w:hAnsi="Courier New" w:cs="Courier New"/>
                <w:sz w:val="16"/>
                <w:szCs w:val="16"/>
              </w:rPr>
              <w:t xml:space="preserve">r264s.dr.dell.com </w:t>
            </w: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 xml:space="preserve">log_archive_dest </w:t>
            </w:r>
            <w:r w:rsidR="004C39B6" w:rsidRPr="00AA097A">
              <w:rPr>
                <w:rFonts w:ascii="Garamond" w:hAnsi="Garamond"/>
                <w:sz w:val="20"/>
                <w:szCs w:val="20"/>
              </w:rPr>
              <w:t>(in ASM)</w:t>
            </w:r>
          </w:p>
        </w:tc>
        <w:tc>
          <w:tcPr>
            <w:tcW w:w="3690" w:type="dxa"/>
          </w:tcPr>
          <w:p w:rsidR="002A2BB4" w:rsidRPr="00AA097A" w:rsidRDefault="00C23B09" w:rsidP="004C39B6">
            <w:pPr>
              <w:pStyle w:val="Default"/>
              <w:rPr>
                <w:rFonts w:ascii="Courier New" w:hAnsi="Courier New" w:cs="Courier New"/>
                <w:sz w:val="16"/>
                <w:szCs w:val="16"/>
              </w:rPr>
            </w:pPr>
            <w:r w:rsidRPr="00AA097A">
              <w:rPr>
                <w:rFonts w:ascii="Courier New" w:hAnsi="Courier New" w:cs="Courier New"/>
                <w:sz w:val="16"/>
                <w:szCs w:val="16"/>
              </w:rPr>
              <w:t>ARCH_1</w:t>
            </w:r>
            <w:r w:rsidR="004C39B6" w:rsidRPr="00AA097A">
              <w:rPr>
                <w:rFonts w:ascii="Courier New" w:hAnsi="Courier New" w:cs="Courier New"/>
                <w:sz w:val="16"/>
                <w:szCs w:val="16"/>
              </w:rPr>
              <w:t xml:space="preserve"> </w:t>
            </w:r>
          </w:p>
        </w:tc>
        <w:tc>
          <w:tcPr>
            <w:tcW w:w="3780" w:type="dxa"/>
          </w:tcPr>
          <w:p w:rsidR="002A2BB4" w:rsidRPr="00AA097A" w:rsidRDefault="00C23B09" w:rsidP="003F3119">
            <w:pPr>
              <w:pStyle w:val="Default"/>
              <w:rPr>
                <w:rFonts w:ascii="Courier New" w:hAnsi="Courier New" w:cs="Courier New"/>
                <w:sz w:val="16"/>
                <w:szCs w:val="16"/>
              </w:rPr>
            </w:pPr>
            <w:r w:rsidRPr="00AA097A">
              <w:rPr>
                <w:rFonts w:ascii="Courier New" w:hAnsi="Courier New" w:cs="Courier New"/>
                <w:sz w:val="16"/>
                <w:szCs w:val="16"/>
              </w:rPr>
              <w:t>ARCH_1</w:t>
            </w: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 xml:space="preserve"># of online Redologs/thread </w:t>
            </w:r>
          </w:p>
        </w:tc>
        <w:tc>
          <w:tcPr>
            <w:tcW w:w="369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4</w:t>
            </w:r>
          </w:p>
        </w:tc>
        <w:tc>
          <w:tcPr>
            <w:tcW w:w="378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4</w:t>
            </w: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 xml:space="preserve">Size of online Redologs </w:t>
            </w:r>
          </w:p>
        </w:tc>
        <w:tc>
          <w:tcPr>
            <w:tcW w:w="369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500M</w:t>
            </w:r>
          </w:p>
        </w:tc>
        <w:tc>
          <w:tcPr>
            <w:tcW w:w="378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500M</w:t>
            </w: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 xml:space="preserve">Character Set </w:t>
            </w:r>
          </w:p>
        </w:tc>
        <w:tc>
          <w:tcPr>
            <w:tcW w:w="369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UTF8</w:t>
            </w:r>
          </w:p>
        </w:tc>
        <w:tc>
          <w:tcPr>
            <w:tcW w:w="378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UTF8</w:t>
            </w: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 xml:space="preserve">TNS alias </w:t>
            </w:r>
          </w:p>
        </w:tc>
        <w:tc>
          <w:tcPr>
            <w:tcW w:w="369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r264s_prd </w:t>
            </w:r>
          </w:p>
        </w:tc>
        <w:tc>
          <w:tcPr>
            <w:tcW w:w="378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r264s_dr </w:t>
            </w: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ASM diskgroups</w:t>
            </w:r>
          </w:p>
        </w:tc>
        <w:tc>
          <w:tcPr>
            <w:tcW w:w="369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DATA_1, ARCH_1, FRA_1 </w:t>
            </w:r>
          </w:p>
        </w:tc>
        <w:tc>
          <w:tcPr>
            <w:tcW w:w="378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ARCH_1 and DATA_1 </w:t>
            </w: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 xml:space="preserve">Database version </w:t>
            </w:r>
          </w:p>
        </w:tc>
        <w:tc>
          <w:tcPr>
            <w:tcW w:w="369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10.2.0.3 </w:t>
            </w:r>
          </w:p>
        </w:tc>
        <w:tc>
          <w:tcPr>
            <w:tcW w:w="378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10.2.0.3 </w:t>
            </w: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 xml:space="preserve">Platform </w:t>
            </w:r>
          </w:p>
        </w:tc>
        <w:tc>
          <w:tcPr>
            <w:tcW w:w="369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Linux SLES 10 </w:t>
            </w:r>
          </w:p>
        </w:tc>
        <w:tc>
          <w:tcPr>
            <w:tcW w:w="378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Linux SLES 10 </w:t>
            </w: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 xml:space="preserve">Compatible </w:t>
            </w:r>
          </w:p>
        </w:tc>
        <w:tc>
          <w:tcPr>
            <w:tcW w:w="369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10.2.0 </w:t>
            </w:r>
          </w:p>
        </w:tc>
        <w:tc>
          <w:tcPr>
            <w:tcW w:w="378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 xml:space="preserve">10.2.0 </w:t>
            </w: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Force Logging</w:t>
            </w:r>
          </w:p>
        </w:tc>
        <w:tc>
          <w:tcPr>
            <w:tcW w:w="369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YES</w:t>
            </w:r>
          </w:p>
        </w:tc>
        <w:tc>
          <w:tcPr>
            <w:tcW w:w="378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YES</w:t>
            </w: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Standby Redo Log Size</w:t>
            </w:r>
          </w:p>
        </w:tc>
        <w:tc>
          <w:tcPr>
            <w:tcW w:w="369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500M</w:t>
            </w:r>
          </w:p>
        </w:tc>
        <w:tc>
          <w:tcPr>
            <w:tcW w:w="378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500M</w:t>
            </w: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Standby Redologs/Thread</w:t>
            </w:r>
          </w:p>
        </w:tc>
        <w:tc>
          <w:tcPr>
            <w:tcW w:w="369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5</w:t>
            </w:r>
          </w:p>
        </w:tc>
        <w:tc>
          <w:tcPr>
            <w:tcW w:w="3780" w:type="dxa"/>
          </w:tcPr>
          <w:p w:rsidR="002A2BB4" w:rsidRPr="00AA097A" w:rsidRDefault="002A2BB4" w:rsidP="003F3119">
            <w:pPr>
              <w:pStyle w:val="Default"/>
              <w:rPr>
                <w:rFonts w:ascii="Courier New" w:hAnsi="Courier New" w:cs="Courier New"/>
                <w:sz w:val="16"/>
                <w:szCs w:val="16"/>
              </w:rPr>
            </w:pPr>
            <w:r w:rsidRPr="00AA097A">
              <w:rPr>
                <w:rFonts w:ascii="Courier New" w:hAnsi="Courier New" w:cs="Courier New"/>
                <w:sz w:val="16"/>
                <w:szCs w:val="16"/>
              </w:rPr>
              <w:t>5</w:t>
            </w:r>
          </w:p>
        </w:tc>
      </w:tr>
      <w:tr w:rsidR="002A2BB4" w:rsidRPr="003F3119" w:rsidTr="00E37E76">
        <w:tc>
          <w:tcPr>
            <w:tcW w:w="2610" w:type="dxa"/>
          </w:tcPr>
          <w:p w:rsidR="002A2BB4" w:rsidRPr="00AA097A" w:rsidRDefault="00E37E76" w:rsidP="003F3119">
            <w:pPr>
              <w:pStyle w:val="Default"/>
              <w:rPr>
                <w:rFonts w:ascii="Garamond" w:hAnsi="Garamond"/>
                <w:sz w:val="20"/>
                <w:szCs w:val="20"/>
              </w:rPr>
            </w:pPr>
            <w:r w:rsidRPr="00AA097A">
              <w:rPr>
                <w:rFonts w:ascii="Garamond" w:hAnsi="Garamond"/>
                <w:sz w:val="20"/>
                <w:szCs w:val="20"/>
              </w:rPr>
              <w:t>Local_Listener</w:t>
            </w:r>
          </w:p>
        </w:tc>
        <w:tc>
          <w:tcPr>
            <w:tcW w:w="3690" w:type="dxa"/>
          </w:tcPr>
          <w:p w:rsidR="002A2BB4" w:rsidRPr="00AA097A" w:rsidRDefault="00E37E76" w:rsidP="003F3119">
            <w:pPr>
              <w:pStyle w:val="Default"/>
              <w:rPr>
                <w:rFonts w:ascii="Courier New" w:hAnsi="Courier New" w:cs="Courier New"/>
                <w:sz w:val="16"/>
                <w:szCs w:val="16"/>
              </w:rPr>
            </w:pPr>
            <w:r w:rsidRPr="00AA097A">
              <w:rPr>
                <w:rFonts w:ascii="Courier New" w:hAnsi="Courier New" w:cs="Courier New"/>
                <w:sz w:val="16"/>
                <w:szCs w:val="16"/>
              </w:rPr>
              <w:t>'(ADDRESS=(PROTOCOL=TCP)(HOST=gridesldb05-vip</w:t>
            </w:r>
            <w:r w:rsidR="00461F02">
              <w:rPr>
                <w:rFonts w:ascii="Courier New" w:hAnsi="Courier New" w:cs="Courier New"/>
                <w:sz w:val="16"/>
                <w:szCs w:val="16"/>
              </w:rPr>
              <w:t>.prd.dell.com</w:t>
            </w:r>
            <w:r w:rsidRPr="00AA097A">
              <w:rPr>
                <w:rFonts w:ascii="Courier New" w:hAnsi="Courier New" w:cs="Courier New"/>
                <w:sz w:val="16"/>
                <w:szCs w:val="16"/>
              </w:rPr>
              <w:t>)(PORT=1521))' scope=both sid='</w:t>
            </w:r>
            <w:r w:rsidRPr="00AA097A">
              <w:rPr>
                <w:rFonts w:ascii="Courier New" w:hAnsi="Courier New" w:cs="Courier New"/>
                <w:b/>
                <w:sz w:val="16"/>
                <w:szCs w:val="16"/>
              </w:rPr>
              <w:t>r264s1</w:t>
            </w:r>
            <w:r w:rsidRPr="00AA097A">
              <w:rPr>
                <w:rFonts w:ascii="Courier New" w:hAnsi="Courier New" w:cs="Courier New"/>
                <w:sz w:val="16"/>
                <w:szCs w:val="16"/>
              </w:rPr>
              <w:t>'</w:t>
            </w:r>
          </w:p>
          <w:p w:rsidR="00E37E76" w:rsidRPr="00AA097A" w:rsidRDefault="00E37E76" w:rsidP="00E37E76">
            <w:pPr>
              <w:pStyle w:val="Default"/>
              <w:rPr>
                <w:rFonts w:ascii="Courier New" w:hAnsi="Courier New" w:cs="Courier New"/>
                <w:sz w:val="16"/>
                <w:szCs w:val="16"/>
              </w:rPr>
            </w:pPr>
          </w:p>
          <w:p w:rsidR="00E37E76" w:rsidRPr="00AA097A" w:rsidRDefault="00E37E76" w:rsidP="00E37E76">
            <w:pPr>
              <w:pStyle w:val="Default"/>
              <w:rPr>
                <w:rFonts w:ascii="Courier New" w:hAnsi="Courier New" w:cs="Courier New"/>
                <w:sz w:val="16"/>
                <w:szCs w:val="16"/>
              </w:rPr>
            </w:pPr>
            <w:r w:rsidRPr="00AA097A">
              <w:rPr>
                <w:rFonts w:ascii="Courier New" w:hAnsi="Courier New" w:cs="Courier New"/>
                <w:sz w:val="16"/>
                <w:szCs w:val="16"/>
              </w:rPr>
              <w:t>'(ADDRESS=(PROTOCOL=TCP)(HOST=gridesldb06-vip</w:t>
            </w:r>
            <w:r w:rsidR="00461F02">
              <w:rPr>
                <w:rFonts w:ascii="Courier New" w:hAnsi="Courier New" w:cs="Courier New"/>
                <w:sz w:val="16"/>
                <w:szCs w:val="16"/>
              </w:rPr>
              <w:t>.prd.dell.com</w:t>
            </w:r>
            <w:r w:rsidRPr="00AA097A">
              <w:rPr>
                <w:rFonts w:ascii="Courier New" w:hAnsi="Courier New" w:cs="Courier New"/>
                <w:sz w:val="16"/>
                <w:szCs w:val="16"/>
              </w:rPr>
              <w:t>)(PORT=1521))' scope=both sid='</w:t>
            </w:r>
            <w:r w:rsidRPr="00AA097A">
              <w:rPr>
                <w:rFonts w:ascii="Courier New" w:hAnsi="Courier New" w:cs="Courier New"/>
                <w:b/>
                <w:sz w:val="16"/>
                <w:szCs w:val="16"/>
              </w:rPr>
              <w:t>r264s2</w:t>
            </w:r>
            <w:r w:rsidRPr="00AA097A">
              <w:rPr>
                <w:rFonts w:ascii="Courier New" w:hAnsi="Courier New" w:cs="Courier New"/>
                <w:sz w:val="16"/>
                <w:szCs w:val="16"/>
              </w:rPr>
              <w:t>'</w:t>
            </w:r>
          </w:p>
          <w:p w:rsidR="00E37E76" w:rsidRPr="00AA097A" w:rsidRDefault="00E37E76" w:rsidP="003F3119">
            <w:pPr>
              <w:pStyle w:val="Default"/>
              <w:rPr>
                <w:rFonts w:ascii="Courier New" w:hAnsi="Courier New" w:cs="Courier New"/>
                <w:sz w:val="16"/>
                <w:szCs w:val="16"/>
              </w:rPr>
            </w:pPr>
          </w:p>
        </w:tc>
        <w:tc>
          <w:tcPr>
            <w:tcW w:w="3780" w:type="dxa"/>
          </w:tcPr>
          <w:p w:rsidR="00E37E76" w:rsidRPr="00AA097A" w:rsidRDefault="00E37E76" w:rsidP="00E37E76">
            <w:pPr>
              <w:pStyle w:val="Default"/>
              <w:rPr>
                <w:rFonts w:ascii="Courier New" w:hAnsi="Courier New" w:cs="Courier New"/>
                <w:sz w:val="16"/>
                <w:szCs w:val="16"/>
              </w:rPr>
            </w:pPr>
            <w:r w:rsidRPr="00AA097A">
              <w:rPr>
                <w:rFonts w:ascii="Courier New" w:hAnsi="Courier New" w:cs="Courier New"/>
                <w:sz w:val="16"/>
                <w:szCs w:val="16"/>
              </w:rPr>
              <w:t>'(ADDRESS=(PROTOCOL=TCP)(HOST= gdmsengdbrdb05-vip</w:t>
            </w:r>
            <w:r w:rsidR="00461F02">
              <w:rPr>
                <w:rFonts w:ascii="Courier New" w:hAnsi="Courier New" w:cs="Courier New"/>
                <w:sz w:val="16"/>
                <w:szCs w:val="16"/>
              </w:rPr>
              <w:t>.prd.dell.com</w:t>
            </w:r>
            <w:r w:rsidRPr="00AA097A">
              <w:rPr>
                <w:rFonts w:ascii="Courier New" w:hAnsi="Courier New" w:cs="Courier New"/>
                <w:sz w:val="16"/>
                <w:szCs w:val="16"/>
              </w:rPr>
              <w:t>)(PORT=1521))' scope=both sid='</w:t>
            </w:r>
            <w:r w:rsidRPr="00AA097A">
              <w:rPr>
                <w:rFonts w:ascii="Courier New" w:hAnsi="Courier New" w:cs="Courier New"/>
                <w:b/>
                <w:sz w:val="16"/>
                <w:szCs w:val="16"/>
              </w:rPr>
              <w:t>r264s1</w:t>
            </w:r>
            <w:r w:rsidRPr="00AA097A">
              <w:rPr>
                <w:rFonts w:ascii="Courier New" w:hAnsi="Courier New" w:cs="Courier New"/>
                <w:sz w:val="16"/>
                <w:szCs w:val="16"/>
              </w:rPr>
              <w:t>'</w:t>
            </w:r>
          </w:p>
          <w:p w:rsidR="00E37E76" w:rsidRPr="00AA097A" w:rsidRDefault="00E37E76" w:rsidP="00E37E76">
            <w:pPr>
              <w:pStyle w:val="Default"/>
              <w:rPr>
                <w:rFonts w:ascii="Courier New" w:hAnsi="Courier New" w:cs="Courier New"/>
                <w:sz w:val="16"/>
                <w:szCs w:val="16"/>
              </w:rPr>
            </w:pPr>
          </w:p>
          <w:p w:rsidR="00E37E76" w:rsidRPr="00AA097A" w:rsidRDefault="00E37E76" w:rsidP="00E37E76">
            <w:pPr>
              <w:pStyle w:val="Default"/>
              <w:rPr>
                <w:rFonts w:ascii="Courier New" w:hAnsi="Courier New" w:cs="Courier New"/>
                <w:sz w:val="16"/>
                <w:szCs w:val="16"/>
              </w:rPr>
            </w:pPr>
            <w:r w:rsidRPr="00AA097A">
              <w:rPr>
                <w:rFonts w:ascii="Courier New" w:hAnsi="Courier New" w:cs="Courier New"/>
                <w:sz w:val="16"/>
                <w:szCs w:val="16"/>
              </w:rPr>
              <w:t>'(ADDRESS=(PROTOCOL=TCP)(HOST= gdmsengdbrdb05-vip</w:t>
            </w:r>
            <w:r w:rsidR="00461F02">
              <w:rPr>
                <w:rFonts w:ascii="Courier New" w:hAnsi="Courier New" w:cs="Courier New"/>
                <w:sz w:val="16"/>
                <w:szCs w:val="16"/>
              </w:rPr>
              <w:t>.prd.dell.com</w:t>
            </w:r>
            <w:r w:rsidRPr="00AA097A">
              <w:rPr>
                <w:rFonts w:ascii="Courier New" w:hAnsi="Courier New" w:cs="Courier New"/>
                <w:sz w:val="16"/>
                <w:szCs w:val="16"/>
              </w:rPr>
              <w:t>)(PORT=1521))' scope=both sid='</w:t>
            </w:r>
            <w:r w:rsidRPr="00AA097A">
              <w:rPr>
                <w:rFonts w:ascii="Courier New" w:hAnsi="Courier New" w:cs="Courier New"/>
                <w:b/>
                <w:sz w:val="16"/>
                <w:szCs w:val="16"/>
              </w:rPr>
              <w:t>r264s2</w:t>
            </w:r>
            <w:r w:rsidRPr="00AA097A">
              <w:rPr>
                <w:rFonts w:ascii="Courier New" w:hAnsi="Courier New" w:cs="Courier New"/>
                <w:sz w:val="16"/>
                <w:szCs w:val="16"/>
              </w:rPr>
              <w:t>'</w:t>
            </w:r>
          </w:p>
          <w:p w:rsidR="002A2BB4" w:rsidRPr="00AA097A" w:rsidRDefault="002A2BB4" w:rsidP="003F3119">
            <w:pPr>
              <w:pStyle w:val="Default"/>
              <w:rPr>
                <w:rFonts w:ascii="Courier New" w:hAnsi="Courier New" w:cs="Courier New"/>
                <w:sz w:val="16"/>
                <w:szCs w:val="16"/>
              </w:rPr>
            </w:pPr>
          </w:p>
        </w:tc>
      </w:tr>
      <w:tr w:rsidR="002A2BB4" w:rsidRPr="003F3119" w:rsidTr="00E37E76">
        <w:tc>
          <w:tcPr>
            <w:tcW w:w="2610" w:type="dxa"/>
          </w:tcPr>
          <w:p w:rsidR="002A2BB4" w:rsidRPr="00AA097A" w:rsidRDefault="002A2BB4" w:rsidP="003F3119">
            <w:pPr>
              <w:pStyle w:val="Default"/>
              <w:rPr>
                <w:rFonts w:ascii="Garamond" w:hAnsi="Garamond"/>
                <w:sz w:val="20"/>
                <w:szCs w:val="20"/>
              </w:rPr>
            </w:pPr>
            <w:r w:rsidRPr="00AA097A">
              <w:rPr>
                <w:rFonts w:ascii="Garamond" w:hAnsi="Garamond"/>
                <w:sz w:val="20"/>
                <w:szCs w:val="20"/>
              </w:rPr>
              <w:t>Services</w:t>
            </w:r>
          </w:p>
        </w:tc>
        <w:tc>
          <w:tcPr>
            <w:tcW w:w="3690" w:type="dxa"/>
          </w:tcPr>
          <w:p w:rsidR="002A2BB4" w:rsidRPr="00AA097A" w:rsidRDefault="002A2BB4" w:rsidP="00C23B09">
            <w:pPr>
              <w:pStyle w:val="Default"/>
              <w:rPr>
                <w:rFonts w:ascii="Courier New" w:hAnsi="Courier New" w:cs="Courier New"/>
                <w:sz w:val="16"/>
                <w:szCs w:val="16"/>
              </w:rPr>
            </w:pPr>
            <w:r w:rsidRPr="00AA097A">
              <w:rPr>
                <w:rFonts w:ascii="Courier New" w:hAnsi="Courier New" w:cs="Courier New"/>
                <w:sz w:val="16"/>
                <w:szCs w:val="16"/>
              </w:rPr>
              <w:t>R264</w:t>
            </w:r>
            <w:r w:rsidR="00217085" w:rsidRPr="00AA097A">
              <w:rPr>
                <w:rFonts w:ascii="Courier New" w:hAnsi="Courier New" w:cs="Courier New"/>
                <w:sz w:val="16"/>
                <w:szCs w:val="16"/>
              </w:rPr>
              <w:t>s</w:t>
            </w:r>
            <w:r w:rsidRPr="00AA097A">
              <w:rPr>
                <w:rFonts w:ascii="Courier New" w:hAnsi="Courier New" w:cs="Courier New"/>
                <w:sz w:val="16"/>
                <w:szCs w:val="16"/>
              </w:rPr>
              <w:t>_online.</w:t>
            </w:r>
            <w:r w:rsidR="00C23B09" w:rsidRPr="00AA097A">
              <w:rPr>
                <w:rFonts w:ascii="Courier New" w:hAnsi="Courier New" w:cs="Courier New"/>
                <w:sz w:val="16"/>
                <w:szCs w:val="16"/>
              </w:rPr>
              <w:t>prd</w:t>
            </w:r>
            <w:r w:rsidR="00C849A6" w:rsidRPr="00AA097A">
              <w:rPr>
                <w:rFonts w:ascii="Courier New" w:hAnsi="Courier New" w:cs="Courier New"/>
                <w:sz w:val="16"/>
                <w:szCs w:val="16"/>
              </w:rPr>
              <w:t>.dell.com</w:t>
            </w:r>
          </w:p>
        </w:tc>
        <w:tc>
          <w:tcPr>
            <w:tcW w:w="3780" w:type="dxa"/>
          </w:tcPr>
          <w:p w:rsidR="002A2BB4" w:rsidRPr="00AA097A" w:rsidRDefault="00C849A6" w:rsidP="00C23B09">
            <w:pPr>
              <w:pStyle w:val="Default"/>
              <w:rPr>
                <w:rFonts w:ascii="Courier New" w:hAnsi="Courier New" w:cs="Courier New"/>
                <w:sz w:val="16"/>
                <w:szCs w:val="16"/>
              </w:rPr>
            </w:pPr>
            <w:r w:rsidRPr="00AA097A">
              <w:rPr>
                <w:rFonts w:ascii="Courier New" w:hAnsi="Courier New" w:cs="Courier New"/>
                <w:sz w:val="16"/>
                <w:szCs w:val="16"/>
              </w:rPr>
              <w:t>R264</w:t>
            </w:r>
            <w:r w:rsidR="00217085" w:rsidRPr="00AA097A">
              <w:rPr>
                <w:rFonts w:ascii="Courier New" w:hAnsi="Courier New" w:cs="Courier New"/>
                <w:sz w:val="16"/>
                <w:szCs w:val="16"/>
              </w:rPr>
              <w:t>sx</w:t>
            </w:r>
            <w:r w:rsidR="00C23B09" w:rsidRPr="00AA097A">
              <w:rPr>
                <w:rFonts w:ascii="Courier New" w:hAnsi="Courier New" w:cs="Courier New"/>
                <w:sz w:val="16"/>
                <w:szCs w:val="16"/>
              </w:rPr>
              <w:t>_online.prd</w:t>
            </w:r>
            <w:r w:rsidRPr="00AA097A">
              <w:rPr>
                <w:rFonts w:ascii="Courier New" w:hAnsi="Courier New" w:cs="Courier New"/>
                <w:sz w:val="16"/>
                <w:szCs w:val="16"/>
              </w:rPr>
              <w:t>.dell.com</w:t>
            </w:r>
          </w:p>
        </w:tc>
      </w:tr>
      <w:tr w:rsidR="006A2D0B" w:rsidRPr="003F3119" w:rsidTr="00E37E76">
        <w:tc>
          <w:tcPr>
            <w:tcW w:w="2610" w:type="dxa"/>
          </w:tcPr>
          <w:p w:rsidR="006A2D0B" w:rsidRPr="00AA097A" w:rsidRDefault="006A2D0B" w:rsidP="003F3119">
            <w:pPr>
              <w:pStyle w:val="Default"/>
              <w:rPr>
                <w:rFonts w:ascii="Garamond" w:hAnsi="Garamond"/>
                <w:sz w:val="20"/>
                <w:szCs w:val="20"/>
              </w:rPr>
            </w:pPr>
            <w:r w:rsidRPr="00AA097A">
              <w:rPr>
                <w:rFonts w:ascii="Garamond" w:hAnsi="Garamond"/>
                <w:sz w:val="20"/>
                <w:szCs w:val="20"/>
              </w:rPr>
              <w:t>Log_archive_config</w:t>
            </w:r>
          </w:p>
        </w:tc>
        <w:tc>
          <w:tcPr>
            <w:tcW w:w="3690" w:type="dxa"/>
          </w:tcPr>
          <w:p w:rsidR="006A2D0B" w:rsidRPr="00AA097A" w:rsidRDefault="004C39B6" w:rsidP="00C56678">
            <w:pPr>
              <w:pStyle w:val="Default"/>
              <w:rPr>
                <w:rFonts w:ascii="Courier New" w:hAnsi="Courier New" w:cs="Courier New"/>
                <w:sz w:val="16"/>
                <w:szCs w:val="16"/>
              </w:rPr>
            </w:pPr>
            <w:r w:rsidRPr="00AA097A">
              <w:rPr>
                <w:rFonts w:ascii="Courier New" w:hAnsi="Courier New" w:cs="Courier New"/>
                <w:sz w:val="16"/>
                <w:szCs w:val="16"/>
              </w:rPr>
              <w:t>'dg_config=(r264s,</w:t>
            </w:r>
            <w:r w:rsidR="00C56678" w:rsidRPr="00AA097A">
              <w:rPr>
                <w:rFonts w:ascii="Courier New" w:hAnsi="Courier New" w:cs="Courier New"/>
                <w:sz w:val="16"/>
                <w:szCs w:val="16"/>
              </w:rPr>
              <w:t>r264s</w:t>
            </w:r>
            <w:r w:rsidRPr="00AA097A">
              <w:rPr>
                <w:rFonts w:ascii="Courier New" w:hAnsi="Courier New" w:cs="Courier New"/>
                <w:sz w:val="16"/>
                <w:szCs w:val="16"/>
              </w:rPr>
              <w:t>_dr)'</w:t>
            </w:r>
          </w:p>
        </w:tc>
        <w:tc>
          <w:tcPr>
            <w:tcW w:w="3780" w:type="dxa"/>
          </w:tcPr>
          <w:p w:rsidR="006A2D0B" w:rsidRPr="00AA097A" w:rsidRDefault="00C56678" w:rsidP="003F3119">
            <w:pPr>
              <w:pStyle w:val="Default"/>
              <w:rPr>
                <w:rFonts w:ascii="Courier New" w:hAnsi="Courier New" w:cs="Courier New"/>
                <w:sz w:val="16"/>
                <w:szCs w:val="16"/>
              </w:rPr>
            </w:pPr>
            <w:r w:rsidRPr="00AA097A">
              <w:rPr>
                <w:rFonts w:ascii="Courier New" w:hAnsi="Courier New" w:cs="Courier New"/>
                <w:sz w:val="16"/>
                <w:szCs w:val="16"/>
              </w:rPr>
              <w:t>'dg_config=(r264s,r264s_dr)'</w:t>
            </w:r>
          </w:p>
        </w:tc>
      </w:tr>
      <w:tr w:rsidR="006A2D0B" w:rsidRPr="003F3119" w:rsidTr="00E37E76">
        <w:tc>
          <w:tcPr>
            <w:tcW w:w="2610" w:type="dxa"/>
          </w:tcPr>
          <w:p w:rsidR="006A2D0B" w:rsidRPr="00AA097A" w:rsidRDefault="006A2D0B" w:rsidP="003F3119">
            <w:pPr>
              <w:pStyle w:val="Default"/>
              <w:rPr>
                <w:rFonts w:ascii="Garamond" w:hAnsi="Garamond"/>
                <w:sz w:val="20"/>
                <w:szCs w:val="20"/>
              </w:rPr>
            </w:pPr>
            <w:r w:rsidRPr="00AA097A">
              <w:rPr>
                <w:rFonts w:ascii="Garamond" w:hAnsi="Garamond"/>
                <w:sz w:val="20"/>
                <w:szCs w:val="20"/>
              </w:rPr>
              <w:t>SQLNET Parameters</w:t>
            </w:r>
          </w:p>
        </w:tc>
        <w:tc>
          <w:tcPr>
            <w:tcW w:w="3690" w:type="dxa"/>
          </w:tcPr>
          <w:p w:rsidR="006A2D0B" w:rsidRPr="00AA097A" w:rsidRDefault="00C23B09" w:rsidP="003F3119">
            <w:pPr>
              <w:pStyle w:val="Default"/>
              <w:rPr>
                <w:rFonts w:ascii="Courier New" w:hAnsi="Courier New" w:cs="Courier New"/>
                <w:sz w:val="16"/>
                <w:szCs w:val="16"/>
              </w:rPr>
            </w:pPr>
            <w:r w:rsidRPr="00AA097A">
              <w:rPr>
                <w:rFonts w:ascii="Courier New" w:hAnsi="Courier New" w:cs="Courier New"/>
                <w:sz w:val="16"/>
                <w:szCs w:val="16"/>
              </w:rPr>
              <w:t>Expire_time=1</w:t>
            </w:r>
          </w:p>
        </w:tc>
        <w:tc>
          <w:tcPr>
            <w:tcW w:w="3780" w:type="dxa"/>
          </w:tcPr>
          <w:p w:rsidR="006A2D0B" w:rsidRPr="00AA097A" w:rsidRDefault="00C23B09" w:rsidP="003F3119">
            <w:pPr>
              <w:pStyle w:val="Default"/>
              <w:rPr>
                <w:rFonts w:ascii="Courier New" w:hAnsi="Courier New" w:cs="Courier New"/>
                <w:sz w:val="16"/>
                <w:szCs w:val="16"/>
              </w:rPr>
            </w:pPr>
            <w:r w:rsidRPr="00AA097A">
              <w:rPr>
                <w:rFonts w:ascii="Courier New" w:hAnsi="Courier New" w:cs="Courier New"/>
                <w:sz w:val="16"/>
                <w:szCs w:val="16"/>
              </w:rPr>
              <w:t>Expire_time=1</w:t>
            </w:r>
          </w:p>
        </w:tc>
      </w:tr>
      <w:tr w:rsidR="006A2D0B" w:rsidRPr="003F3119" w:rsidTr="00E37E76">
        <w:tc>
          <w:tcPr>
            <w:tcW w:w="2610" w:type="dxa"/>
          </w:tcPr>
          <w:p w:rsidR="006A2D0B" w:rsidRPr="00AA097A" w:rsidRDefault="006A2D0B" w:rsidP="003F3119">
            <w:pPr>
              <w:pStyle w:val="Default"/>
              <w:rPr>
                <w:rFonts w:ascii="Garamond" w:hAnsi="Garamond"/>
                <w:sz w:val="20"/>
                <w:szCs w:val="20"/>
              </w:rPr>
            </w:pPr>
            <w:r w:rsidRPr="00AA097A">
              <w:rPr>
                <w:rFonts w:ascii="Garamond" w:hAnsi="Garamond"/>
                <w:sz w:val="20"/>
                <w:szCs w:val="20"/>
              </w:rPr>
              <w:t>Log_</w:t>
            </w:r>
            <w:r w:rsidR="00E923EA">
              <w:rPr>
                <w:rFonts w:ascii="Garamond" w:hAnsi="Garamond"/>
                <w:sz w:val="20"/>
                <w:szCs w:val="20"/>
              </w:rPr>
              <w:t>archive_</w:t>
            </w:r>
            <w:r w:rsidRPr="00AA097A">
              <w:rPr>
                <w:rFonts w:ascii="Garamond" w:hAnsi="Garamond"/>
                <w:sz w:val="20"/>
                <w:szCs w:val="20"/>
              </w:rPr>
              <w:t>max_processes</w:t>
            </w:r>
          </w:p>
        </w:tc>
        <w:tc>
          <w:tcPr>
            <w:tcW w:w="3690" w:type="dxa"/>
          </w:tcPr>
          <w:p w:rsidR="006A2D0B" w:rsidRPr="00AA097A" w:rsidRDefault="00C23B09" w:rsidP="003F3119">
            <w:pPr>
              <w:pStyle w:val="Default"/>
              <w:rPr>
                <w:rFonts w:ascii="Courier New" w:hAnsi="Courier New" w:cs="Courier New"/>
                <w:sz w:val="16"/>
                <w:szCs w:val="16"/>
              </w:rPr>
            </w:pPr>
            <w:r w:rsidRPr="00AA097A">
              <w:rPr>
                <w:rFonts w:ascii="Courier New" w:hAnsi="Courier New" w:cs="Courier New"/>
                <w:sz w:val="16"/>
                <w:szCs w:val="16"/>
              </w:rPr>
              <w:t>30</w:t>
            </w:r>
          </w:p>
        </w:tc>
        <w:tc>
          <w:tcPr>
            <w:tcW w:w="3780" w:type="dxa"/>
          </w:tcPr>
          <w:p w:rsidR="006A2D0B" w:rsidRPr="00AA097A" w:rsidRDefault="00C23B09" w:rsidP="003F3119">
            <w:pPr>
              <w:pStyle w:val="Default"/>
              <w:rPr>
                <w:rFonts w:ascii="Courier New" w:hAnsi="Courier New" w:cs="Courier New"/>
                <w:sz w:val="16"/>
                <w:szCs w:val="16"/>
              </w:rPr>
            </w:pPr>
            <w:r w:rsidRPr="00AA097A">
              <w:rPr>
                <w:rFonts w:ascii="Courier New" w:hAnsi="Courier New" w:cs="Courier New"/>
                <w:sz w:val="16"/>
                <w:szCs w:val="16"/>
              </w:rPr>
              <w:t>30</w:t>
            </w:r>
          </w:p>
        </w:tc>
      </w:tr>
      <w:tr w:rsidR="006A2D0B" w:rsidRPr="003F3119" w:rsidTr="00E37E76">
        <w:tc>
          <w:tcPr>
            <w:tcW w:w="2610" w:type="dxa"/>
          </w:tcPr>
          <w:p w:rsidR="006A2D0B" w:rsidRPr="00AA097A" w:rsidRDefault="006A2D0B" w:rsidP="003F3119">
            <w:pPr>
              <w:pStyle w:val="Default"/>
              <w:rPr>
                <w:rFonts w:ascii="Garamond" w:hAnsi="Garamond"/>
                <w:sz w:val="20"/>
                <w:szCs w:val="20"/>
              </w:rPr>
            </w:pPr>
            <w:r w:rsidRPr="00AA097A">
              <w:rPr>
                <w:rFonts w:ascii="Garamond" w:hAnsi="Garamond"/>
                <w:sz w:val="20"/>
                <w:szCs w:val="20"/>
              </w:rPr>
              <w:t>Log_archive_format</w:t>
            </w:r>
          </w:p>
        </w:tc>
        <w:tc>
          <w:tcPr>
            <w:tcW w:w="3690" w:type="dxa"/>
          </w:tcPr>
          <w:p w:rsidR="006A2D0B" w:rsidRPr="00AA097A" w:rsidRDefault="00C23B09" w:rsidP="003F3119">
            <w:pPr>
              <w:pStyle w:val="Default"/>
              <w:rPr>
                <w:rFonts w:ascii="Courier New" w:hAnsi="Courier New" w:cs="Courier New"/>
                <w:sz w:val="16"/>
                <w:szCs w:val="16"/>
              </w:rPr>
            </w:pPr>
            <w:r w:rsidRPr="00AA097A">
              <w:rPr>
                <w:rFonts w:ascii="Courier New" w:hAnsi="Courier New" w:cs="Courier New"/>
                <w:sz w:val="16"/>
                <w:szCs w:val="16"/>
              </w:rPr>
              <w:t>%t_%s_%r.dbf</w:t>
            </w:r>
          </w:p>
        </w:tc>
        <w:tc>
          <w:tcPr>
            <w:tcW w:w="3780" w:type="dxa"/>
          </w:tcPr>
          <w:p w:rsidR="006A2D0B" w:rsidRPr="00AA097A" w:rsidRDefault="00C23B09" w:rsidP="003F3119">
            <w:pPr>
              <w:pStyle w:val="Default"/>
              <w:rPr>
                <w:rFonts w:ascii="Courier New" w:hAnsi="Courier New" w:cs="Courier New"/>
                <w:sz w:val="16"/>
                <w:szCs w:val="16"/>
              </w:rPr>
            </w:pPr>
            <w:r w:rsidRPr="00AA097A">
              <w:rPr>
                <w:rFonts w:ascii="Courier New" w:hAnsi="Courier New" w:cs="Courier New"/>
                <w:sz w:val="16"/>
                <w:szCs w:val="16"/>
              </w:rPr>
              <w:t>%t_%s_%r.dbf</w:t>
            </w:r>
          </w:p>
        </w:tc>
      </w:tr>
      <w:tr w:rsidR="008E5547" w:rsidRPr="003F3119" w:rsidTr="00E37E76">
        <w:tc>
          <w:tcPr>
            <w:tcW w:w="2610" w:type="dxa"/>
          </w:tcPr>
          <w:p w:rsidR="008E5547" w:rsidRPr="00AA097A" w:rsidRDefault="008E5547" w:rsidP="003F3119">
            <w:pPr>
              <w:pStyle w:val="Default"/>
              <w:rPr>
                <w:rFonts w:ascii="Garamond" w:hAnsi="Garamond"/>
                <w:sz w:val="20"/>
                <w:szCs w:val="20"/>
              </w:rPr>
            </w:pPr>
            <w:r w:rsidRPr="00AA097A">
              <w:rPr>
                <w:rFonts w:ascii="Garamond" w:hAnsi="Garamond"/>
                <w:sz w:val="20"/>
                <w:szCs w:val="20"/>
              </w:rPr>
              <w:t>Fal_client</w:t>
            </w:r>
          </w:p>
        </w:tc>
        <w:tc>
          <w:tcPr>
            <w:tcW w:w="3690" w:type="dxa"/>
          </w:tcPr>
          <w:p w:rsidR="008E5547" w:rsidRPr="00AA097A" w:rsidRDefault="00C23B09" w:rsidP="003F3119">
            <w:pPr>
              <w:pStyle w:val="Default"/>
              <w:rPr>
                <w:rFonts w:ascii="Courier New" w:hAnsi="Courier New" w:cs="Courier New"/>
                <w:sz w:val="16"/>
                <w:szCs w:val="16"/>
              </w:rPr>
            </w:pPr>
            <w:r w:rsidRPr="00AA097A">
              <w:rPr>
                <w:rFonts w:ascii="Courier New" w:hAnsi="Courier New" w:cs="Courier New"/>
                <w:sz w:val="16"/>
                <w:szCs w:val="16"/>
              </w:rPr>
              <w:t>R264S_PRD</w:t>
            </w:r>
          </w:p>
        </w:tc>
        <w:tc>
          <w:tcPr>
            <w:tcW w:w="3780" w:type="dxa"/>
          </w:tcPr>
          <w:p w:rsidR="008E5547" w:rsidRPr="00AA097A" w:rsidRDefault="00C23B09" w:rsidP="003F3119">
            <w:pPr>
              <w:pStyle w:val="Default"/>
              <w:rPr>
                <w:rFonts w:ascii="Courier New" w:hAnsi="Courier New" w:cs="Courier New"/>
                <w:sz w:val="16"/>
                <w:szCs w:val="16"/>
              </w:rPr>
            </w:pPr>
            <w:r w:rsidRPr="00AA097A">
              <w:rPr>
                <w:rFonts w:ascii="Courier New" w:hAnsi="Courier New" w:cs="Courier New"/>
                <w:sz w:val="16"/>
                <w:szCs w:val="16"/>
              </w:rPr>
              <w:t>R264S_DR</w:t>
            </w:r>
          </w:p>
        </w:tc>
      </w:tr>
      <w:tr w:rsidR="008E5547" w:rsidRPr="003F3119" w:rsidTr="00E37E76">
        <w:tc>
          <w:tcPr>
            <w:tcW w:w="2610" w:type="dxa"/>
          </w:tcPr>
          <w:p w:rsidR="008E5547" w:rsidRPr="00AA097A" w:rsidRDefault="008E5547" w:rsidP="003F3119">
            <w:pPr>
              <w:pStyle w:val="Default"/>
              <w:rPr>
                <w:rFonts w:ascii="Garamond" w:hAnsi="Garamond"/>
                <w:sz w:val="20"/>
                <w:szCs w:val="20"/>
              </w:rPr>
            </w:pPr>
            <w:r w:rsidRPr="00AA097A">
              <w:rPr>
                <w:rFonts w:ascii="Garamond" w:hAnsi="Garamond"/>
                <w:sz w:val="20"/>
                <w:szCs w:val="20"/>
              </w:rPr>
              <w:t>Fal_server</w:t>
            </w:r>
          </w:p>
        </w:tc>
        <w:tc>
          <w:tcPr>
            <w:tcW w:w="3690" w:type="dxa"/>
          </w:tcPr>
          <w:p w:rsidR="008E5547" w:rsidRPr="00AA097A" w:rsidRDefault="00C23B09" w:rsidP="003F3119">
            <w:pPr>
              <w:pStyle w:val="Default"/>
              <w:rPr>
                <w:rFonts w:ascii="Courier New" w:hAnsi="Courier New" w:cs="Courier New"/>
                <w:sz w:val="16"/>
                <w:szCs w:val="16"/>
              </w:rPr>
            </w:pPr>
            <w:r w:rsidRPr="00AA097A">
              <w:rPr>
                <w:rFonts w:ascii="Courier New" w:hAnsi="Courier New" w:cs="Courier New"/>
                <w:sz w:val="16"/>
                <w:szCs w:val="16"/>
              </w:rPr>
              <w:t>R264S_DR</w:t>
            </w:r>
          </w:p>
        </w:tc>
        <w:tc>
          <w:tcPr>
            <w:tcW w:w="3780" w:type="dxa"/>
          </w:tcPr>
          <w:p w:rsidR="008E5547" w:rsidRPr="00AA097A" w:rsidRDefault="00C23B09" w:rsidP="003F3119">
            <w:pPr>
              <w:pStyle w:val="Default"/>
              <w:rPr>
                <w:rFonts w:ascii="Courier New" w:hAnsi="Courier New" w:cs="Courier New"/>
                <w:sz w:val="16"/>
                <w:szCs w:val="16"/>
              </w:rPr>
            </w:pPr>
            <w:r w:rsidRPr="00AA097A">
              <w:rPr>
                <w:rFonts w:ascii="Courier New" w:hAnsi="Courier New" w:cs="Courier New"/>
                <w:sz w:val="16"/>
                <w:szCs w:val="16"/>
              </w:rPr>
              <w:t>R264S_PRD</w:t>
            </w:r>
          </w:p>
        </w:tc>
      </w:tr>
      <w:tr w:rsidR="00E37E76" w:rsidRPr="003F3119" w:rsidTr="00E37E76">
        <w:tc>
          <w:tcPr>
            <w:tcW w:w="2610" w:type="dxa"/>
          </w:tcPr>
          <w:p w:rsidR="00E37E76" w:rsidRPr="00AA097A" w:rsidRDefault="00E37E76" w:rsidP="003F3119">
            <w:pPr>
              <w:pStyle w:val="Default"/>
              <w:rPr>
                <w:rFonts w:ascii="Garamond" w:hAnsi="Garamond"/>
                <w:sz w:val="20"/>
                <w:szCs w:val="20"/>
              </w:rPr>
            </w:pPr>
            <w:r w:rsidRPr="00AA097A">
              <w:rPr>
                <w:rFonts w:ascii="Garamond" w:hAnsi="Garamond"/>
                <w:sz w:val="20"/>
                <w:szCs w:val="20"/>
              </w:rPr>
              <w:t>Dg_broker_start</w:t>
            </w:r>
          </w:p>
        </w:tc>
        <w:tc>
          <w:tcPr>
            <w:tcW w:w="3690" w:type="dxa"/>
          </w:tcPr>
          <w:p w:rsidR="00E37E76" w:rsidRPr="00AA097A" w:rsidRDefault="00E37E76" w:rsidP="003F3119">
            <w:pPr>
              <w:pStyle w:val="Default"/>
              <w:rPr>
                <w:rFonts w:ascii="Courier New" w:hAnsi="Courier New" w:cs="Courier New"/>
                <w:sz w:val="16"/>
                <w:szCs w:val="16"/>
              </w:rPr>
            </w:pPr>
            <w:r w:rsidRPr="00AA097A">
              <w:rPr>
                <w:rFonts w:ascii="Courier New" w:hAnsi="Courier New" w:cs="Courier New"/>
                <w:sz w:val="16"/>
                <w:szCs w:val="16"/>
              </w:rPr>
              <w:t>TRUE</w:t>
            </w:r>
          </w:p>
        </w:tc>
        <w:tc>
          <w:tcPr>
            <w:tcW w:w="3780" w:type="dxa"/>
          </w:tcPr>
          <w:p w:rsidR="00E37E76" w:rsidRPr="00AA097A" w:rsidRDefault="00E37E76" w:rsidP="003F3119">
            <w:pPr>
              <w:pStyle w:val="Default"/>
              <w:rPr>
                <w:rFonts w:ascii="Courier New" w:hAnsi="Courier New" w:cs="Courier New"/>
                <w:sz w:val="16"/>
                <w:szCs w:val="16"/>
              </w:rPr>
            </w:pPr>
            <w:r w:rsidRPr="00AA097A">
              <w:rPr>
                <w:rFonts w:ascii="Courier New" w:hAnsi="Courier New" w:cs="Courier New"/>
                <w:sz w:val="16"/>
                <w:szCs w:val="16"/>
              </w:rPr>
              <w:t>TRUE</w:t>
            </w:r>
          </w:p>
        </w:tc>
      </w:tr>
      <w:tr w:rsidR="00E37E76" w:rsidRPr="003F3119" w:rsidTr="00E37E76">
        <w:tc>
          <w:tcPr>
            <w:tcW w:w="2610" w:type="dxa"/>
          </w:tcPr>
          <w:p w:rsidR="00E37E76" w:rsidRPr="00AA097A" w:rsidRDefault="00E37E76" w:rsidP="003F3119">
            <w:pPr>
              <w:pStyle w:val="Default"/>
              <w:rPr>
                <w:rFonts w:ascii="Garamond" w:hAnsi="Garamond"/>
                <w:sz w:val="20"/>
                <w:szCs w:val="20"/>
              </w:rPr>
            </w:pPr>
            <w:r w:rsidRPr="00AA097A">
              <w:rPr>
                <w:rFonts w:ascii="Garamond" w:hAnsi="Garamond"/>
                <w:sz w:val="20"/>
                <w:szCs w:val="20"/>
              </w:rPr>
              <w:t>dg_broker_config_file1</w:t>
            </w:r>
          </w:p>
        </w:tc>
        <w:tc>
          <w:tcPr>
            <w:tcW w:w="3690" w:type="dxa"/>
          </w:tcPr>
          <w:p w:rsidR="00E37E76" w:rsidRPr="00AA097A" w:rsidRDefault="00E37E76" w:rsidP="00E37E76">
            <w:pPr>
              <w:pStyle w:val="Default"/>
              <w:rPr>
                <w:rFonts w:ascii="Courier New" w:hAnsi="Courier New" w:cs="Courier New"/>
                <w:sz w:val="16"/>
                <w:szCs w:val="16"/>
              </w:rPr>
            </w:pPr>
            <w:r w:rsidRPr="00AA097A">
              <w:rPr>
                <w:rFonts w:ascii="Courier New" w:hAnsi="Courier New" w:cs="Courier New"/>
                <w:sz w:val="16"/>
                <w:szCs w:val="16"/>
              </w:rPr>
              <w:t>'+DATA_1/r264s/dr1r264s.dat'</w:t>
            </w:r>
          </w:p>
        </w:tc>
        <w:tc>
          <w:tcPr>
            <w:tcW w:w="3780" w:type="dxa"/>
          </w:tcPr>
          <w:p w:rsidR="00E37E76" w:rsidRPr="00AA097A" w:rsidRDefault="00E37E76" w:rsidP="003F3119">
            <w:pPr>
              <w:pStyle w:val="Default"/>
              <w:rPr>
                <w:rFonts w:ascii="Courier New" w:hAnsi="Courier New" w:cs="Courier New"/>
                <w:sz w:val="16"/>
                <w:szCs w:val="16"/>
              </w:rPr>
            </w:pPr>
            <w:r w:rsidRPr="00AA097A">
              <w:rPr>
                <w:rFonts w:ascii="Courier New" w:hAnsi="Courier New" w:cs="Courier New"/>
                <w:sz w:val="16"/>
                <w:szCs w:val="16"/>
              </w:rPr>
              <w:t>'+DATA_1/r264s/dr1r264s.dat'</w:t>
            </w:r>
          </w:p>
        </w:tc>
      </w:tr>
      <w:tr w:rsidR="00E37E76" w:rsidRPr="003F3119" w:rsidTr="009079B0">
        <w:tc>
          <w:tcPr>
            <w:tcW w:w="2610" w:type="dxa"/>
          </w:tcPr>
          <w:p w:rsidR="00E37E76" w:rsidRPr="00AA097A" w:rsidRDefault="00E37E76" w:rsidP="009079B0">
            <w:pPr>
              <w:pStyle w:val="Default"/>
              <w:rPr>
                <w:rFonts w:ascii="Garamond" w:hAnsi="Garamond"/>
                <w:sz w:val="20"/>
                <w:szCs w:val="20"/>
              </w:rPr>
            </w:pPr>
            <w:r w:rsidRPr="00AA097A">
              <w:rPr>
                <w:rFonts w:ascii="Garamond" w:hAnsi="Garamond"/>
                <w:sz w:val="20"/>
                <w:szCs w:val="20"/>
              </w:rPr>
              <w:t>dg_broker_config_file2</w:t>
            </w:r>
          </w:p>
        </w:tc>
        <w:tc>
          <w:tcPr>
            <w:tcW w:w="3690" w:type="dxa"/>
          </w:tcPr>
          <w:p w:rsidR="00E37E76" w:rsidRPr="00AA097A" w:rsidRDefault="00E37E76" w:rsidP="00E37E76">
            <w:pPr>
              <w:rPr>
                <w:rFonts w:ascii="Courier New" w:hAnsi="Courier New" w:cs="Courier New"/>
                <w:sz w:val="16"/>
                <w:szCs w:val="16"/>
              </w:rPr>
            </w:pPr>
            <w:r w:rsidRPr="00AA097A">
              <w:rPr>
                <w:rFonts w:ascii="Courier New" w:hAnsi="Courier New" w:cs="Courier New"/>
                <w:sz w:val="16"/>
                <w:szCs w:val="16"/>
              </w:rPr>
              <w:t>'+DATA_1/r264s/dr2r264s.dat'</w:t>
            </w:r>
          </w:p>
        </w:tc>
        <w:tc>
          <w:tcPr>
            <w:tcW w:w="3780" w:type="dxa"/>
          </w:tcPr>
          <w:p w:rsidR="00E37E76" w:rsidRPr="00AA097A" w:rsidRDefault="00E37E76" w:rsidP="00E37E76">
            <w:pPr>
              <w:rPr>
                <w:rFonts w:ascii="Courier New" w:hAnsi="Courier New" w:cs="Courier New"/>
                <w:sz w:val="16"/>
                <w:szCs w:val="16"/>
              </w:rPr>
            </w:pPr>
            <w:r w:rsidRPr="00AA097A">
              <w:rPr>
                <w:rFonts w:ascii="Courier New" w:hAnsi="Courier New" w:cs="Courier New"/>
                <w:sz w:val="16"/>
                <w:szCs w:val="16"/>
              </w:rPr>
              <w:t>'+DATA_1/r264s/dr2r264s.dat'</w:t>
            </w:r>
          </w:p>
        </w:tc>
      </w:tr>
      <w:tr w:rsidR="00E37E76" w:rsidRPr="003F3119" w:rsidTr="00E37E76">
        <w:tc>
          <w:tcPr>
            <w:tcW w:w="2610" w:type="dxa"/>
          </w:tcPr>
          <w:p w:rsidR="00E37E76" w:rsidRPr="00AA097A" w:rsidRDefault="005B1181" w:rsidP="003F3119">
            <w:pPr>
              <w:pStyle w:val="Default"/>
              <w:rPr>
                <w:rFonts w:ascii="Garamond" w:hAnsi="Garamond"/>
                <w:sz w:val="20"/>
                <w:szCs w:val="20"/>
              </w:rPr>
            </w:pPr>
            <w:r w:rsidRPr="00AA097A">
              <w:rPr>
                <w:rFonts w:ascii="Garamond" w:hAnsi="Garamond"/>
                <w:sz w:val="20"/>
                <w:szCs w:val="20"/>
              </w:rPr>
              <w:t>Standby_file_management</w:t>
            </w:r>
          </w:p>
        </w:tc>
        <w:tc>
          <w:tcPr>
            <w:tcW w:w="3690" w:type="dxa"/>
          </w:tcPr>
          <w:p w:rsidR="00E37E76" w:rsidRPr="00AA097A" w:rsidRDefault="005B1181" w:rsidP="003F3119">
            <w:pPr>
              <w:pStyle w:val="Default"/>
              <w:rPr>
                <w:rFonts w:ascii="Courier New" w:hAnsi="Courier New" w:cs="Courier New"/>
                <w:sz w:val="16"/>
                <w:szCs w:val="16"/>
              </w:rPr>
            </w:pPr>
            <w:r w:rsidRPr="00AA097A">
              <w:rPr>
                <w:rFonts w:ascii="Courier New" w:hAnsi="Courier New" w:cs="Courier New"/>
                <w:sz w:val="16"/>
                <w:szCs w:val="16"/>
              </w:rPr>
              <w:t>AUTO</w:t>
            </w:r>
          </w:p>
        </w:tc>
        <w:tc>
          <w:tcPr>
            <w:tcW w:w="3780" w:type="dxa"/>
          </w:tcPr>
          <w:p w:rsidR="00E37E76" w:rsidRPr="00AA097A" w:rsidRDefault="005B1181" w:rsidP="003F3119">
            <w:pPr>
              <w:pStyle w:val="Default"/>
              <w:rPr>
                <w:rFonts w:ascii="Courier New" w:hAnsi="Courier New" w:cs="Courier New"/>
                <w:sz w:val="16"/>
                <w:szCs w:val="16"/>
              </w:rPr>
            </w:pPr>
            <w:r w:rsidRPr="00AA097A">
              <w:rPr>
                <w:rFonts w:ascii="Courier New" w:hAnsi="Courier New" w:cs="Courier New"/>
                <w:sz w:val="16"/>
                <w:szCs w:val="16"/>
              </w:rPr>
              <w:t>AUTO</w:t>
            </w:r>
          </w:p>
        </w:tc>
      </w:tr>
    </w:tbl>
    <w:p w:rsidR="00E37E76" w:rsidRDefault="00E37E76" w:rsidP="009F1386">
      <w:pPr>
        <w:pStyle w:val="Subhead1"/>
      </w:pPr>
    </w:p>
    <w:p w:rsidR="00572CF2" w:rsidRDefault="00236052" w:rsidP="009F1386">
      <w:pPr>
        <w:pStyle w:val="Subhead1"/>
      </w:pPr>
      <w:r>
        <w:t xml:space="preserve">Validating </w:t>
      </w:r>
      <w:r w:rsidR="00572CF2">
        <w:t xml:space="preserve">Data Guard </w:t>
      </w:r>
      <w:r>
        <w:t>Configuration</w:t>
      </w:r>
    </w:p>
    <w:p w:rsidR="006D0312" w:rsidRDefault="000B0323" w:rsidP="00572CF2">
      <w:pPr>
        <w:pStyle w:val="BodyCopy"/>
      </w:pPr>
      <w:r>
        <w:t xml:space="preserve">Data Guard Configuration Verification Utility </w:t>
      </w:r>
      <w:r w:rsidR="003D6923">
        <w:t xml:space="preserve">(DGCVU) </w:t>
      </w:r>
      <w:r w:rsidR="00C84B86">
        <w:t xml:space="preserve">validates the database (Primary or Physical Standby) </w:t>
      </w:r>
      <w:r>
        <w:t xml:space="preserve">configuration </w:t>
      </w:r>
      <w:r w:rsidR="00C84B86">
        <w:t xml:space="preserve">against the best practices explained earlier. </w:t>
      </w:r>
      <w:r w:rsidR="00D168D7">
        <w:t xml:space="preserve">This version of DGCVU doesn’t compare and contrast the similarities between </w:t>
      </w:r>
      <w:r w:rsidR="00D168D7">
        <w:lastRenderedPageBreak/>
        <w:t xml:space="preserve">primary and standby databases.  </w:t>
      </w:r>
      <w:r w:rsidR="00C84B86">
        <w:t>However, the reports generated from Primary and S</w:t>
      </w:r>
      <w:r w:rsidR="00D168D7">
        <w:t xml:space="preserve">tandby can be compared side by side </w:t>
      </w:r>
      <w:r w:rsidR="00C84B86">
        <w:t xml:space="preserve">manually. </w:t>
      </w:r>
    </w:p>
    <w:p w:rsidR="005F762B" w:rsidRDefault="005F762B" w:rsidP="00572CF2">
      <w:pPr>
        <w:pStyle w:val="BodyCopy"/>
      </w:pPr>
    </w:p>
    <w:p w:rsidR="000B0323" w:rsidRDefault="00A130C5" w:rsidP="00572CF2">
      <w:pPr>
        <w:pStyle w:val="BodyCopy"/>
      </w:pPr>
      <w:r>
        <w:t xml:space="preserve">The following screenshots describe some important features of </w:t>
      </w:r>
      <w:r w:rsidR="003D6923">
        <w:t>DGCVU</w:t>
      </w:r>
      <w:r>
        <w:t>.</w:t>
      </w:r>
    </w:p>
    <w:p w:rsidR="00E37E76" w:rsidRDefault="00E37E76" w:rsidP="00A130C5">
      <w:pPr>
        <w:pStyle w:val="BodyCopy"/>
        <w:numPr>
          <w:ilvl w:val="0"/>
          <w:numId w:val="15"/>
        </w:numPr>
      </w:pPr>
      <w:r>
        <w:t xml:space="preserve">DGCVU should be run on the database server. It </w:t>
      </w:r>
      <w:r w:rsidR="007E5C35">
        <w:t xml:space="preserve">sources the </w:t>
      </w:r>
      <w:r w:rsidR="00FD7925">
        <w:t>“</w:t>
      </w:r>
      <w:r w:rsidR="002F0EF9" w:rsidRPr="002F0EF9">
        <w:rPr>
          <w:i/>
        </w:rPr>
        <w:t>.bash_profile</w:t>
      </w:r>
      <w:r w:rsidR="00FD7925">
        <w:t>”</w:t>
      </w:r>
      <w:r w:rsidR="007E5C35">
        <w:t xml:space="preserve"> or the </w:t>
      </w:r>
      <w:r w:rsidR="00FD7925">
        <w:t>“</w:t>
      </w:r>
      <w:r w:rsidR="002F0EF9" w:rsidRPr="002F0EF9">
        <w:rPr>
          <w:i/>
        </w:rPr>
        <w:t>.profile</w:t>
      </w:r>
      <w:r w:rsidR="00FD7925">
        <w:t>”</w:t>
      </w:r>
      <w:r w:rsidR="007E5C35">
        <w:t xml:space="preserve"> of the Oracle user to get environmental information.  DGCVU expects ORACLE_SID and ORACLE_HOME</w:t>
      </w:r>
      <w:r w:rsidR="005F762B">
        <w:t>, ORA_CRS_HOME ( in case of RAC)</w:t>
      </w:r>
      <w:r w:rsidR="007E5C35">
        <w:t xml:space="preserve"> are defined in the profile.  </w:t>
      </w:r>
    </w:p>
    <w:p w:rsidR="00A130C5" w:rsidRDefault="007E5C35" w:rsidP="00A130C5">
      <w:pPr>
        <w:pStyle w:val="BodyCopy"/>
        <w:numPr>
          <w:ilvl w:val="0"/>
          <w:numId w:val="15"/>
        </w:numPr>
      </w:pPr>
      <w:r>
        <w:t>High level view of the environment:</w:t>
      </w:r>
    </w:p>
    <w:p w:rsidR="00A130C5" w:rsidRDefault="004749AF" w:rsidP="00A130C5">
      <w:pPr>
        <w:pStyle w:val="BodyCopy"/>
        <w:ind w:left="720"/>
      </w:pPr>
      <w:r>
        <w:rPr>
          <w:noProof/>
        </w:rPr>
        <w:drawing>
          <wp:inline distT="0" distB="0" distL="0" distR="0">
            <wp:extent cx="4933315" cy="1945640"/>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33315" cy="1945640"/>
                    </a:xfrm>
                    <a:prstGeom prst="rect">
                      <a:avLst/>
                    </a:prstGeom>
                    <a:noFill/>
                    <a:ln w="9525">
                      <a:noFill/>
                      <a:miter lim="800000"/>
                      <a:headEnd/>
                      <a:tailEnd/>
                    </a:ln>
                  </pic:spPr>
                </pic:pic>
              </a:graphicData>
            </a:graphic>
          </wp:inline>
        </w:drawing>
      </w:r>
    </w:p>
    <w:p w:rsidR="007E5C35" w:rsidRDefault="003D6923" w:rsidP="00A130C5">
      <w:pPr>
        <w:pStyle w:val="BodyCopy"/>
        <w:numPr>
          <w:ilvl w:val="1"/>
          <w:numId w:val="15"/>
        </w:numPr>
      </w:pPr>
      <w:r>
        <w:t>T</w:t>
      </w:r>
      <w:r w:rsidR="00A130C5">
        <w:t xml:space="preserve">he target database is a 2-node RAC.  </w:t>
      </w:r>
    </w:p>
    <w:p w:rsidR="00A130C5" w:rsidRDefault="003D6923" w:rsidP="00A130C5">
      <w:pPr>
        <w:pStyle w:val="BodyCopy"/>
        <w:numPr>
          <w:ilvl w:val="1"/>
          <w:numId w:val="15"/>
        </w:numPr>
      </w:pPr>
      <w:r>
        <w:t>DGCVU is being run from node</w:t>
      </w:r>
      <w:r w:rsidR="00FD7925">
        <w:t>1.</w:t>
      </w:r>
    </w:p>
    <w:p w:rsidR="00A130C5" w:rsidRDefault="00A130C5" w:rsidP="00A130C5">
      <w:pPr>
        <w:pStyle w:val="BodyCopy"/>
        <w:numPr>
          <w:ilvl w:val="1"/>
          <w:numId w:val="15"/>
        </w:numPr>
      </w:pPr>
      <w:r>
        <w:t xml:space="preserve">The </w:t>
      </w:r>
      <w:r>
        <w:rPr>
          <w:i/>
        </w:rPr>
        <w:t>Region</w:t>
      </w:r>
      <w:r>
        <w:t xml:space="preserve"> is validated against approved list of </w:t>
      </w:r>
      <w:r w:rsidR="003D6923">
        <w:t>“</w:t>
      </w:r>
      <w:r w:rsidR="003D6923" w:rsidRPr="003D6923">
        <w:rPr>
          <w:i/>
        </w:rPr>
        <w:t>R</w:t>
      </w:r>
      <w:r w:rsidRPr="003D6923">
        <w:rPr>
          <w:i/>
        </w:rPr>
        <w:t>egions</w:t>
      </w:r>
      <w:r w:rsidR="003D6923">
        <w:t>”</w:t>
      </w:r>
      <w:r w:rsidR="007E5C35">
        <w:t xml:space="preserve"> that are defined in the script.</w:t>
      </w:r>
    </w:p>
    <w:p w:rsidR="00A130C5" w:rsidRDefault="00A130C5" w:rsidP="00A130C5">
      <w:pPr>
        <w:pStyle w:val="BodyCopy"/>
        <w:numPr>
          <w:ilvl w:val="1"/>
          <w:numId w:val="15"/>
        </w:numPr>
      </w:pPr>
      <w:r>
        <w:t xml:space="preserve">The target database is a </w:t>
      </w:r>
      <w:r w:rsidRPr="00A130C5">
        <w:rPr>
          <w:i/>
        </w:rPr>
        <w:t>Physical</w:t>
      </w:r>
      <w:r>
        <w:rPr>
          <w:i/>
        </w:rPr>
        <w:t xml:space="preserve"> Standby</w:t>
      </w:r>
      <w:r>
        <w:t>.  This information is c</w:t>
      </w:r>
      <w:r w:rsidR="007E5C35">
        <w:t xml:space="preserve">ollected through a </w:t>
      </w:r>
      <w:r w:rsidR="007E5C35" w:rsidRPr="007E5C35">
        <w:rPr>
          <w:i/>
        </w:rPr>
        <w:t>SQLPLUS</w:t>
      </w:r>
      <w:r w:rsidR="007E5C35">
        <w:t xml:space="preserve"> connection to the database.</w:t>
      </w:r>
    </w:p>
    <w:p w:rsidR="007E5C35" w:rsidRDefault="00A130C5" w:rsidP="00A130C5">
      <w:pPr>
        <w:pStyle w:val="BodyCopy"/>
        <w:numPr>
          <w:ilvl w:val="1"/>
          <w:numId w:val="15"/>
        </w:numPr>
      </w:pPr>
      <w:r>
        <w:t>Data Guard Broker is configured</w:t>
      </w:r>
      <w:r w:rsidR="00FD7925">
        <w:t>.</w:t>
      </w:r>
    </w:p>
    <w:p w:rsidR="00A130C5" w:rsidRDefault="007E5C35" w:rsidP="00A130C5">
      <w:pPr>
        <w:pStyle w:val="BodyCopy"/>
        <w:numPr>
          <w:ilvl w:val="1"/>
          <w:numId w:val="15"/>
        </w:numPr>
      </w:pPr>
      <w:r>
        <w:t xml:space="preserve">Data Guard Broker process (DMON) is </w:t>
      </w:r>
      <w:r w:rsidR="00A130C5">
        <w:t>running on this environment.</w:t>
      </w:r>
    </w:p>
    <w:p w:rsidR="00FF573E" w:rsidRPr="00A130C5" w:rsidRDefault="00FF573E" w:rsidP="00FF573E">
      <w:pPr>
        <w:pStyle w:val="BodyCopy"/>
        <w:ind w:left="1440"/>
      </w:pPr>
    </w:p>
    <w:p w:rsidR="00A130C5" w:rsidRDefault="00A130C5" w:rsidP="00A130C5">
      <w:pPr>
        <w:pStyle w:val="BodyCopy"/>
        <w:numPr>
          <w:ilvl w:val="0"/>
          <w:numId w:val="15"/>
        </w:numPr>
      </w:pPr>
      <w:r>
        <w:t xml:space="preserve">Operating System information.  </w:t>
      </w:r>
      <w:r w:rsidR="003D6923">
        <w:t xml:space="preserve">DGCVU </w:t>
      </w:r>
      <w:r>
        <w:t>is RAC-aware.</w:t>
      </w:r>
      <w:r w:rsidR="00324417">
        <w:t xml:space="preserve">  The following operating system level checks are performed on all nodes in the cluster provided SSH is enabled and no password </w:t>
      </w:r>
      <w:r w:rsidR="007E5C35">
        <w:t xml:space="preserve">is </w:t>
      </w:r>
      <w:r w:rsidR="00324417">
        <w:t xml:space="preserve">need to </w:t>
      </w:r>
      <w:r w:rsidR="007E5C35">
        <w:t>make SSH connection</w:t>
      </w:r>
      <w:r w:rsidR="00324417">
        <w:t>.</w:t>
      </w:r>
    </w:p>
    <w:p w:rsidR="00596332" w:rsidRDefault="004749AF" w:rsidP="00324417">
      <w:pPr>
        <w:pStyle w:val="BodyCopy"/>
        <w:ind w:left="720"/>
      </w:pPr>
      <w:r>
        <w:rPr>
          <w:noProof/>
        </w:rPr>
        <w:lastRenderedPageBreak/>
        <w:drawing>
          <wp:inline distT="0" distB="0" distL="0" distR="0">
            <wp:extent cx="6294755" cy="49123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294755" cy="4912360"/>
                    </a:xfrm>
                    <a:prstGeom prst="rect">
                      <a:avLst/>
                    </a:prstGeom>
                    <a:noFill/>
                    <a:ln w="9525">
                      <a:noFill/>
                      <a:miter lim="800000"/>
                      <a:headEnd/>
                      <a:tailEnd/>
                    </a:ln>
                  </pic:spPr>
                </pic:pic>
              </a:graphicData>
            </a:graphic>
          </wp:inline>
        </w:drawing>
      </w:r>
    </w:p>
    <w:p w:rsidR="00324417" w:rsidRDefault="00324417" w:rsidP="00324417">
      <w:pPr>
        <w:pStyle w:val="BodyCopy"/>
        <w:numPr>
          <w:ilvl w:val="1"/>
          <w:numId w:val="15"/>
        </w:numPr>
      </w:pPr>
      <w:r>
        <w:t xml:space="preserve">OS information and </w:t>
      </w:r>
      <w:r w:rsidR="007E5C35">
        <w:t xml:space="preserve">platform are </w:t>
      </w:r>
      <w:r>
        <w:t xml:space="preserve">database version </w:t>
      </w:r>
      <w:r w:rsidR="007E5C35">
        <w:t xml:space="preserve">are </w:t>
      </w:r>
      <w:r>
        <w:t>extracted</w:t>
      </w:r>
      <w:r w:rsidR="00FD7925">
        <w:t>.</w:t>
      </w:r>
    </w:p>
    <w:p w:rsidR="00324417" w:rsidRDefault="00324417" w:rsidP="00324417">
      <w:pPr>
        <w:pStyle w:val="BodyCopy"/>
        <w:numPr>
          <w:ilvl w:val="1"/>
          <w:numId w:val="15"/>
        </w:numPr>
      </w:pPr>
      <w:r>
        <w:t xml:space="preserve">The following </w:t>
      </w:r>
      <w:r w:rsidR="007E5C35">
        <w:t xml:space="preserve">validations </w:t>
      </w:r>
      <w:r>
        <w:t>are performed</w:t>
      </w:r>
      <w:r w:rsidR="00FD7925">
        <w:t>.</w:t>
      </w:r>
    </w:p>
    <w:p w:rsidR="00324417" w:rsidRDefault="00324417" w:rsidP="00324417">
      <w:pPr>
        <w:pStyle w:val="BodyCopy"/>
        <w:numPr>
          <w:ilvl w:val="2"/>
          <w:numId w:val="15"/>
        </w:numPr>
      </w:pPr>
      <w:r>
        <w:rPr>
          <w:i/>
        </w:rPr>
        <w:t xml:space="preserve">Media Management Layer </w:t>
      </w:r>
      <w:r>
        <w:t>is configured for tape backups.</w:t>
      </w:r>
    </w:p>
    <w:p w:rsidR="00324417" w:rsidRDefault="00324417" w:rsidP="00324417">
      <w:pPr>
        <w:pStyle w:val="BodyCopy"/>
        <w:numPr>
          <w:ilvl w:val="2"/>
          <w:numId w:val="15"/>
        </w:numPr>
      </w:pPr>
      <w:r>
        <w:rPr>
          <w:i/>
        </w:rPr>
        <w:t xml:space="preserve">Automatic Storage Management (ASM) </w:t>
      </w:r>
      <w:r>
        <w:t xml:space="preserve">is configured and </w:t>
      </w:r>
      <w:r w:rsidRPr="00324417">
        <w:t>ASM</w:t>
      </w:r>
      <w:r>
        <w:rPr>
          <w:i/>
        </w:rPr>
        <w:t xml:space="preserve"> </w:t>
      </w:r>
      <w:r>
        <w:t>instance is running</w:t>
      </w:r>
      <w:r w:rsidR="00FD7925">
        <w:t>.</w:t>
      </w:r>
    </w:p>
    <w:p w:rsidR="00324417" w:rsidRDefault="00324417" w:rsidP="00324417">
      <w:pPr>
        <w:pStyle w:val="BodyCopy"/>
        <w:numPr>
          <w:ilvl w:val="2"/>
          <w:numId w:val="15"/>
        </w:numPr>
      </w:pPr>
      <w:r>
        <w:t>Database is running</w:t>
      </w:r>
      <w:r w:rsidR="00FD7925">
        <w:t>.</w:t>
      </w:r>
    </w:p>
    <w:p w:rsidR="00324417" w:rsidRPr="00324417" w:rsidRDefault="00324417" w:rsidP="00324417">
      <w:pPr>
        <w:pStyle w:val="BodyCopy"/>
        <w:numPr>
          <w:ilvl w:val="2"/>
          <w:numId w:val="15"/>
        </w:numPr>
      </w:pPr>
      <w:r>
        <w:t xml:space="preserve">Data Guard Broker is running.  This check is only performed if </w:t>
      </w:r>
      <w:r w:rsidRPr="00324417">
        <w:rPr>
          <w:i/>
        </w:rPr>
        <w:t>dg_broker_start</w:t>
      </w:r>
      <w:r>
        <w:t xml:space="preserve"> initialization parameter is set to </w:t>
      </w:r>
      <w:r w:rsidRPr="00324417">
        <w:rPr>
          <w:i/>
        </w:rPr>
        <w:t>TRUE</w:t>
      </w:r>
      <w:r w:rsidR="00FD7925">
        <w:rPr>
          <w:i/>
        </w:rPr>
        <w:t>.</w:t>
      </w:r>
    </w:p>
    <w:p w:rsidR="00324417" w:rsidRDefault="00324417" w:rsidP="00324417">
      <w:pPr>
        <w:pStyle w:val="BodyCopy"/>
        <w:numPr>
          <w:ilvl w:val="2"/>
          <w:numId w:val="15"/>
        </w:numPr>
      </w:pPr>
      <w:r>
        <w:t xml:space="preserve">Media Recovery Process (MRP) is running. This check is only performed if this is a standby database. In 10g, only one of the RAC instances will be </w:t>
      </w:r>
      <w:r w:rsidR="00FD7925">
        <w:t xml:space="preserve">the </w:t>
      </w:r>
      <w:r w:rsidRPr="00324417">
        <w:rPr>
          <w:i/>
        </w:rPr>
        <w:t>applyin</w:t>
      </w:r>
      <w:r>
        <w:rPr>
          <w:i/>
        </w:rPr>
        <w:t>g instance.</w:t>
      </w:r>
    </w:p>
    <w:p w:rsidR="00324417" w:rsidRDefault="00324417" w:rsidP="00324417">
      <w:pPr>
        <w:pStyle w:val="BodyCopy"/>
        <w:numPr>
          <w:ilvl w:val="2"/>
          <w:numId w:val="15"/>
        </w:numPr>
      </w:pPr>
      <w:r>
        <w:t xml:space="preserve">SQLNET </w:t>
      </w:r>
      <w:r w:rsidR="00105815">
        <w:t>tuning parameters are configured properly</w:t>
      </w:r>
      <w:r w:rsidR="00FD7925">
        <w:t>.</w:t>
      </w:r>
    </w:p>
    <w:p w:rsidR="00105815" w:rsidRPr="00596332" w:rsidRDefault="00105815" w:rsidP="00324417">
      <w:pPr>
        <w:pStyle w:val="BodyCopy"/>
        <w:numPr>
          <w:ilvl w:val="2"/>
          <w:numId w:val="15"/>
        </w:numPr>
      </w:pPr>
      <w:r>
        <w:t xml:space="preserve">GLOBAL_DBNAME is properly configured in </w:t>
      </w:r>
      <w:r w:rsidR="00596332">
        <w:rPr>
          <w:i/>
        </w:rPr>
        <w:t>l</w:t>
      </w:r>
      <w:r w:rsidRPr="00596332">
        <w:rPr>
          <w:i/>
        </w:rPr>
        <w:t>istener.ora</w:t>
      </w:r>
      <w:r>
        <w:t xml:space="preserve"> file.  This check is only performed if </w:t>
      </w:r>
      <w:r w:rsidRPr="00324417">
        <w:rPr>
          <w:i/>
        </w:rPr>
        <w:t>dg_broker_start</w:t>
      </w:r>
      <w:r>
        <w:t xml:space="preserve"> initialization parameter is set to </w:t>
      </w:r>
      <w:r w:rsidRPr="00324417">
        <w:rPr>
          <w:i/>
        </w:rPr>
        <w:t>TRUE</w:t>
      </w:r>
      <w:r w:rsidR="00FD7925">
        <w:rPr>
          <w:i/>
        </w:rPr>
        <w:t>.</w:t>
      </w:r>
    </w:p>
    <w:p w:rsidR="00596332" w:rsidRDefault="00596332" w:rsidP="00324417">
      <w:pPr>
        <w:pStyle w:val="BodyCopy"/>
        <w:numPr>
          <w:ilvl w:val="2"/>
          <w:numId w:val="15"/>
        </w:numPr>
      </w:pPr>
      <w:r>
        <w:t xml:space="preserve">TNS entries are properly configured in </w:t>
      </w:r>
      <w:r>
        <w:rPr>
          <w:i/>
        </w:rPr>
        <w:t xml:space="preserve">tnsnames.ora </w:t>
      </w:r>
      <w:r>
        <w:t>file.</w:t>
      </w:r>
    </w:p>
    <w:p w:rsidR="00596332" w:rsidRDefault="00596332" w:rsidP="00324417">
      <w:pPr>
        <w:pStyle w:val="BodyCopy"/>
        <w:numPr>
          <w:ilvl w:val="2"/>
          <w:numId w:val="15"/>
        </w:numPr>
      </w:pPr>
      <w:r>
        <w:t xml:space="preserve">TNSPING check validates that the information provided in the </w:t>
      </w:r>
      <w:r>
        <w:rPr>
          <w:i/>
        </w:rPr>
        <w:t>tnsnames.ora</w:t>
      </w:r>
      <w:r>
        <w:t xml:space="preserve"> file</w:t>
      </w:r>
      <w:r w:rsidR="003D6923">
        <w:t xml:space="preserve"> actually </w:t>
      </w:r>
      <w:r>
        <w:t>refers to the correct database ser</w:t>
      </w:r>
      <w:r w:rsidR="002C3797">
        <w:t xml:space="preserve">vers. </w:t>
      </w:r>
    </w:p>
    <w:p w:rsidR="00596332" w:rsidRDefault="00596332" w:rsidP="00596332">
      <w:pPr>
        <w:pStyle w:val="BodyCopy"/>
        <w:numPr>
          <w:ilvl w:val="1"/>
          <w:numId w:val="15"/>
        </w:numPr>
      </w:pPr>
      <w:r>
        <w:t xml:space="preserve">After performing OS level checks, applying instance information is provided. </w:t>
      </w:r>
      <w:r w:rsidR="00F20F34">
        <w:t xml:space="preserve">  This is </w:t>
      </w:r>
      <w:r w:rsidR="002C3797">
        <w:t xml:space="preserve">information is provided </w:t>
      </w:r>
      <w:r w:rsidR="00F20F34">
        <w:t>only for Physical Standby.</w:t>
      </w:r>
    </w:p>
    <w:p w:rsidR="00F62557" w:rsidRDefault="004749AF" w:rsidP="00F62557">
      <w:pPr>
        <w:pStyle w:val="BodyCopy"/>
        <w:ind w:left="1440"/>
      </w:pPr>
      <w:r>
        <w:rPr>
          <w:noProof/>
        </w:rPr>
        <w:lastRenderedPageBreak/>
        <w:drawing>
          <wp:inline distT="0" distB="0" distL="0" distR="0">
            <wp:extent cx="4859020" cy="457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859020" cy="457200"/>
                    </a:xfrm>
                    <a:prstGeom prst="rect">
                      <a:avLst/>
                    </a:prstGeom>
                    <a:noFill/>
                    <a:ln w="9525">
                      <a:noFill/>
                      <a:miter lim="800000"/>
                      <a:headEnd/>
                      <a:tailEnd/>
                    </a:ln>
                  </pic:spPr>
                </pic:pic>
              </a:graphicData>
            </a:graphic>
          </wp:inline>
        </w:drawing>
      </w:r>
    </w:p>
    <w:p w:rsidR="00370931" w:rsidRDefault="00370931" w:rsidP="00370931">
      <w:pPr>
        <w:pStyle w:val="BodyCopy"/>
        <w:numPr>
          <w:ilvl w:val="0"/>
          <w:numId w:val="15"/>
        </w:numPr>
      </w:pPr>
      <w:r>
        <w:t>Initialization parameter validation.  The utility validates some critical initialization parameters.  This validation is broken down into three sections.</w:t>
      </w:r>
      <w:r w:rsidR="001D5908">
        <w:t xml:space="preserve">  The report lists the parameter, whether the validation is a </w:t>
      </w:r>
      <w:r w:rsidR="001D5908" w:rsidRPr="001D5908">
        <w:rPr>
          <w:i/>
        </w:rPr>
        <w:t>Pass</w:t>
      </w:r>
      <w:r w:rsidR="001D5908">
        <w:t xml:space="preserve"> or </w:t>
      </w:r>
      <w:r w:rsidR="001D5908" w:rsidRPr="001D5908">
        <w:rPr>
          <w:i/>
        </w:rPr>
        <w:t>Fail</w:t>
      </w:r>
      <w:r w:rsidR="001D5908">
        <w:t xml:space="preserve">, </w:t>
      </w:r>
      <w:r w:rsidR="001D5908">
        <w:rPr>
          <w:i/>
        </w:rPr>
        <w:t>Expected V</w:t>
      </w:r>
      <w:r w:rsidR="001D5908" w:rsidRPr="001D5908">
        <w:rPr>
          <w:i/>
        </w:rPr>
        <w:t>alue</w:t>
      </w:r>
      <w:r w:rsidR="001D5908">
        <w:t xml:space="preserve"> and the </w:t>
      </w:r>
      <w:r w:rsidR="001D5908">
        <w:rPr>
          <w:i/>
        </w:rPr>
        <w:t>Current V</w:t>
      </w:r>
      <w:r w:rsidR="001D5908" w:rsidRPr="001D5908">
        <w:rPr>
          <w:i/>
        </w:rPr>
        <w:t>alue</w:t>
      </w:r>
      <w:r w:rsidR="001D5908">
        <w:t>.</w:t>
      </w:r>
    </w:p>
    <w:p w:rsidR="00370931" w:rsidRDefault="00370931" w:rsidP="00370931">
      <w:pPr>
        <w:pStyle w:val="BodyCopy"/>
        <w:numPr>
          <w:ilvl w:val="1"/>
          <w:numId w:val="15"/>
        </w:numPr>
      </w:pPr>
      <w:r>
        <w:t>Non-Critical Parameters. As the title suggests, these parameters listed are not really critical for Data Guard</w:t>
      </w:r>
      <w:r w:rsidR="00D168D7">
        <w:t xml:space="preserve"> to function properly but it is a good idea to validate some important parameters</w:t>
      </w:r>
      <w:r>
        <w:t xml:space="preserve">.  This is not an exhaustive list but few </w:t>
      </w:r>
      <w:r w:rsidR="00D168D7">
        <w:t>validations are performed</w:t>
      </w:r>
      <w:r>
        <w:t>.</w:t>
      </w:r>
    </w:p>
    <w:p w:rsidR="00370931" w:rsidRDefault="004749AF" w:rsidP="00370931">
      <w:pPr>
        <w:pStyle w:val="BodyCopy"/>
        <w:ind w:left="720"/>
      </w:pPr>
      <w:r>
        <w:rPr>
          <w:noProof/>
        </w:rPr>
        <w:drawing>
          <wp:inline distT="0" distB="0" distL="0" distR="0">
            <wp:extent cx="6230620" cy="203073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230620" cy="2030730"/>
                    </a:xfrm>
                    <a:prstGeom prst="rect">
                      <a:avLst/>
                    </a:prstGeom>
                    <a:noFill/>
                    <a:ln w="9525">
                      <a:noFill/>
                      <a:miter lim="800000"/>
                      <a:headEnd/>
                      <a:tailEnd/>
                    </a:ln>
                  </pic:spPr>
                </pic:pic>
              </a:graphicData>
            </a:graphic>
          </wp:inline>
        </w:drawing>
      </w:r>
    </w:p>
    <w:p w:rsidR="00F62557" w:rsidRDefault="00F62557" w:rsidP="00F62557">
      <w:pPr>
        <w:pStyle w:val="BodyCopy"/>
        <w:ind w:left="1440"/>
      </w:pPr>
    </w:p>
    <w:p w:rsidR="001D5908" w:rsidRDefault="00370931" w:rsidP="001D5908">
      <w:pPr>
        <w:pStyle w:val="BodyCopy"/>
        <w:numPr>
          <w:ilvl w:val="1"/>
          <w:numId w:val="15"/>
        </w:numPr>
      </w:pPr>
      <w:r>
        <w:t>Parameter</w:t>
      </w:r>
      <w:r w:rsidR="00FD7925">
        <w:t>s</w:t>
      </w:r>
      <w:r>
        <w:t xml:space="preserve"> that should be same between </w:t>
      </w:r>
      <w:r w:rsidR="00FD7925">
        <w:t>p</w:t>
      </w:r>
      <w:r>
        <w:t xml:space="preserve">rimary and </w:t>
      </w:r>
      <w:r w:rsidR="00FD7925">
        <w:t>standby</w:t>
      </w:r>
      <w:r>
        <w:t xml:space="preserve">.  The following parameters need to be </w:t>
      </w:r>
      <w:r w:rsidR="00FD7925">
        <w:t xml:space="preserve">the </w:t>
      </w:r>
      <w:r>
        <w:t xml:space="preserve">same between primary and a physical standby database. </w:t>
      </w:r>
    </w:p>
    <w:p w:rsidR="001D5908" w:rsidRDefault="004749AF" w:rsidP="001D5908">
      <w:pPr>
        <w:pStyle w:val="BodyCopy"/>
        <w:ind w:left="720"/>
      </w:pPr>
      <w:r>
        <w:rPr>
          <w:noProof/>
        </w:rPr>
        <w:drawing>
          <wp:inline distT="0" distB="0" distL="0" distR="0">
            <wp:extent cx="6209665" cy="1116330"/>
            <wp:effectExtent l="1905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209665" cy="1116330"/>
                    </a:xfrm>
                    <a:prstGeom prst="rect">
                      <a:avLst/>
                    </a:prstGeom>
                    <a:noFill/>
                    <a:ln w="9525">
                      <a:noFill/>
                      <a:miter lim="800000"/>
                      <a:headEnd/>
                      <a:tailEnd/>
                    </a:ln>
                  </pic:spPr>
                </pic:pic>
              </a:graphicData>
            </a:graphic>
          </wp:inline>
        </w:drawing>
      </w:r>
    </w:p>
    <w:p w:rsidR="00370931" w:rsidRDefault="00D45162" w:rsidP="00D45162">
      <w:pPr>
        <w:pStyle w:val="BodyCopy"/>
        <w:numPr>
          <w:ilvl w:val="1"/>
          <w:numId w:val="15"/>
        </w:numPr>
      </w:pPr>
      <w:r>
        <w:t xml:space="preserve">Critical Parameters.  These parameters need to be set on both </w:t>
      </w:r>
      <w:r w:rsidR="00F20F34">
        <w:t xml:space="preserve">primary and standby databases. </w:t>
      </w:r>
    </w:p>
    <w:p w:rsidR="00F20F34" w:rsidRDefault="00FD7925" w:rsidP="00F20F34">
      <w:pPr>
        <w:pStyle w:val="BodyCopy"/>
        <w:numPr>
          <w:ilvl w:val="2"/>
          <w:numId w:val="15"/>
        </w:numPr>
      </w:pPr>
      <w:r>
        <w:t xml:space="preserve"> d</w:t>
      </w:r>
      <w:r w:rsidR="00F20F34">
        <w:t>b_domain: This value depends on your deployment standards</w:t>
      </w:r>
      <w:r>
        <w:t>.</w:t>
      </w:r>
    </w:p>
    <w:p w:rsidR="00F20F34" w:rsidRDefault="00FD7925" w:rsidP="00F20F34">
      <w:pPr>
        <w:pStyle w:val="BodyCopy"/>
        <w:numPr>
          <w:ilvl w:val="2"/>
          <w:numId w:val="15"/>
        </w:numPr>
      </w:pPr>
      <w:r>
        <w:t xml:space="preserve"> d</w:t>
      </w:r>
      <w:r w:rsidR="00F20F34">
        <w:t>b_create_file_dest:  This value need to be set.  In this example, it is expected to be an ASM destination</w:t>
      </w:r>
      <w:r>
        <w:t>.</w:t>
      </w:r>
    </w:p>
    <w:p w:rsidR="00F20F34" w:rsidRDefault="00FD7925" w:rsidP="00F20F34">
      <w:pPr>
        <w:pStyle w:val="BodyCopy"/>
        <w:numPr>
          <w:ilvl w:val="2"/>
          <w:numId w:val="15"/>
        </w:numPr>
      </w:pPr>
      <w:r>
        <w:t xml:space="preserve"> d</w:t>
      </w:r>
      <w:r w:rsidR="00F20F34">
        <w:t xml:space="preserve">g_broker_start:  The standard is to enable Data Guard Broker. </w:t>
      </w:r>
    </w:p>
    <w:p w:rsidR="00F20F34" w:rsidRDefault="00FD7925" w:rsidP="00F20F34">
      <w:pPr>
        <w:pStyle w:val="BodyCopy"/>
        <w:numPr>
          <w:ilvl w:val="2"/>
          <w:numId w:val="15"/>
        </w:numPr>
      </w:pPr>
      <w:r>
        <w:t xml:space="preserve"> d</w:t>
      </w:r>
      <w:r w:rsidR="00F20F34">
        <w:t>g_broker_config_file1, dg_broker_config_file2:  Data Guard Broker requires two configuration files to store the configuration information.  The recommended standard is to store these files in ASM.  The location of the file inside ASM is trivial as long as the destination is ASM.</w:t>
      </w:r>
    </w:p>
    <w:p w:rsidR="00F20F34" w:rsidRDefault="00FD7925" w:rsidP="00F20F34">
      <w:pPr>
        <w:pStyle w:val="BodyCopy"/>
        <w:numPr>
          <w:ilvl w:val="2"/>
          <w:numId w:val="15"/>
        </w:numPr>
      </w:pPr>
      <w:r>
        <w:t xml:space="preserve"> f</w:t>
      </w:r>
      <w:r w:rsidR="00F20F34">
        <w:t>al_client: This parameter refers to the standby that applying the logs. It is not required to set this for Standby if Broker is enabled.  Broker dynamically manages the value of this parameter.</w:t>
      </w:r>
    </w:p>
    <w:p w:rsidR="00F20F34" w:rsidRDefault="00FD7925" w:rsidP="00F20F34">
      <w:pPr>
        <w:pStyle w:val="BodyCopy"/>
        <w:numPr>
          <w:ilvl w:val="2"/>
          <w:numId w:val="15"/>
        </w:numPr>
      </w:pPr>
      <w:r>
        <w:t xml:space="preserve"> f</w:t>
      </w:r>
      <w:r w:rsidR="00F20F34">
        <w:t>al_server: This parameter</w:t>
      </w:r>
      <w:r w:rsidR="002C3797">
        <w:t xml:space="preserve"> refers to the primary database</w:t>
      </w:r>
      <w:r w:rsidR="00F20F34">
        <w:t>.</w:t>
      </w:r>
      <w:r w:rsidR="002C3797">
        <w:t xml:space="preserve"> It is not required to set this for Standby if Broker is enabled.  Broker dynamically manages the value of this parameter.</w:t>
      </w:r>
    </w:p>
    <w:p w:rsidR="00D45162" w:rsidRDefault="004749AF" w:rsidP="0053077B">
      <w:pPr>
        <w:pStyle w:val="BodyCopy"/>
        <w:ind w:left="720"/>
      </w:pPr>
      <w:r>
        <w:rPr>
          <w:noProof/>
        </w:rPr>
        <w:lastRenderedPageBreak/>
        <w:drawing>
          <wp:inline distT="0" distB="0" distL="0" distR="0">
            <wp:extent cx="6198870" cy="16478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198870" cy="1647825"/>
                    </a:xfrm>
                    <a:prstGeom prst="rect">
                      <a:avLst/>
                    </a:prstGeom>
                    <a:noFill/>
                    <a:ln w="9525">
                      <a:noFill/>
                      <a:miter lim="800000"/>
                      <a:headEnd/>
                      <a:tailEnd/>
                    </a:ln>
                  </pic:spPr>
                </pic:pic>
              </a:graphicData>
            </a:graphic>
          </wp:inline>
        </w:drawing>
      </w:r>
    </w:p>
    <w:p w:rsidR="00370931" w:rsidRDefault="00370931" w:rsidP="00370931">
      <w:pPr>
        <w:pStyle w:val="BodyCopy"/>
        <w:ind w:left="720"/>
      </w:pPr>
    </w:p>
    <w:p w:rsidR="00596332" w:rsidRDefault="00596332" w:rsidP="00370931">
      <w:pPr>
        <w:pStyle w:val="BodyCopy"/>
        <w:ind w:left="720"/>
      </w:pPr>
    </w:p>
    <w:p w:rsidR="0053077B" w:rsidRDefault="00443C25" w:rsidP="0053077B">
      <w:pPr>
        <w:pStyle w:val="BodyCopy"/>
        <w:numPr>
          <w:ilvl w:val="0"/>
          <w:numId w:val="15"/>
        </w:numPr>
      </w:pPr>
      <w:r>
        <w:t>REDOLOG</w:t>
      </w:r>
      <w:r w:rsidR="0053077B">
        <w:t xml:space="preserve"> validation.  It is important to configure Online Redo Logs (ORL) and Standby Redo Logs (SRL) properly so that the standby keeps up with primary in an efficient manner.  </w:t>
      </w:r>
      <w:r w:rsidR="0053077B" w:rsidRPr="0053077B">
        <w:rPr>
          <w:i/>
        </w:rPr>
        <w:t>Real Time Apply</w:t>
      </w:r>
      <w:r w:rsidR="0053077B">
        <w:rPr>
          <w:i/>
        </w:rPr>
        <w:t xml:space="preserve"> </w:t>
      </w:r>
      <w:r w:rsidR="0053077B">
        <w:t xml:space="preserve">ensures the delta between primary and standby to a minimum. </w:t>
      </w:r>
    </w:p>
    <w:p w:rsidR="0053077B" w:rsidRDefault="004749AF" w:rsidP="0053077B">
      <w:pPr>
        <w:pStyle w:val="BodyCopy"/>
        <w:ind w:left="720"/>
      </w:pPr>
      <w:r>
        <w:rPr>
          <w:noProof/>
        </w:rPr>
        <w:drawing>
          <wp:inline distT="0" distB="0" distL="0" distR="0">
            <wp:extent cx="4933315" cy="1243965"/>
            <wp:effectExtent l="1905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933315" cy="1243965"/>
                    </a:xfrm>
                    <a:prstGeom prst="rect">
                      <a:avLst/>
                    </a:prstGeom>
                    <a:noFill/>
                    <a:ln w="9525">
                      <a:noFill/>
                      <a:miter lim="800000"/>
                      <a:headEnd/>
                      <a:tailEnd/>
                    </a:ln>
                  </pic:spPr>
                </pic:pic>
              </a:graphicData>
            </a:graphic>
          </wp:inline>
        </w:drawing>
      </w:r>
    </w:p>
    <w:p w:rsidR="0053077B" w:rsidRDefault="0053077B" w:rsidP="0053077B">
      <w:pPr>
        <w:pStyle w:val="BodyCopy"/>
        <w:numPr>
          <w:ilvl w:val="1"/>
          <w:numId w:val="15"/>
        </w:numPr>
      </w:pPr>
      <w:r>
        <w:t>ORL size is calculated</w:t>
      </w:r>
      <w:r w:rsidR="00FD7925">
        <w:t>.</w:t>
      </w:r>
    </w:p>
    <w:p w:rsidR="0053077B" w:rsidRDefault="0053077B" w:rsidP="0053077B">
      <w:pPr>
        <w:pStyle w:val="BodyCopy"/>
        <w:numPr>
          <w:ilvl w:val="1"/>
          <w:numId w:val="15"/>
        </w:numPr>
      </w:pPr>
      <w:r>
        <w:t>SRL size is calculated</w:t>
      </w:r>
      <w:r w:rsidR="00FD7925">
        <w:t>.</w:t>
      </w:r>
    </w:p>
    <w:p w:rsidR="0053077B" w:rsidRDefault="00D86C61" w:rsidP="0053077B">
      <w:pPr>
        <w:pStyle w:val="BodyCopy"/>
        <w:numPr>
          <w:ilvl w:val="1"/>
          <w:numId w:val="15"/>
        </w:numPr>
      </w:pPr>
      <w:r>
        <w:t>ORL and SRL size are compared.  It is required to have same size of ORL and SRLs to ensure Real Time Apply is used.</w:t>
      </w:r>
    </w:p>
    <w:p w:rsidR="00D86C61" w:rsidRDefault="00D86C61" w:rsidP="0053077B">
      <w:pPr>
        <w:pStyle w:val="BodyCopy"/>
        <w:numPr>
          <w:ilvl w:val="1"/>
          <w:numId w:val="15"/>
        </w:numPr>
      </w:pPr>
      <w:r>
        <w:t xml:space="preserve">Number of SRLs are validated against the number of ORLs.  The formula is (1 + Number of ORLs/thread) </w:t>
      </w:r>
      <w:r w:rsidR="002C3797">
        <w:t xml:space="preserve"> * Number of Threads.</w:t>
      </w:r>
    </w:p>
    <w:p w:rsidR="0053077B" w:rsidRDefault="00D86C61" w:rsidP="0053077B">
      <w:pPr>
        <w:pStyle w:val="BodyCopy"/>
        <w:numPr>
          <w:ilvl w:val="0"/>
          <w:numId w:val="15"/>
        </w:numPr>
      </w:pPr>
      <w:r>
        <w:t>Local Listener Parameters</w:t>
      </w:r>
      <w:r w:rsidR="00443C25">
        <w:t xml:space="preserve"> are extracted for each</w:t>
      </w:r>
      <w:r w:rsidR="002C3797">
        <w:t xml:space="preserve"> instance and validates the valu</w:t>
      </w:r>
      <w:r w:rsidR="00443C25">
        <w:t xml:space="preserve">es for PROTOCOL, HOST and PORT. </w:t>
      </w:r>
    </w:p>
    <w:p w:rsidR="00D86C61" w:rsidRDefault="004749AF" w:rsidP="00F20F34">
      <w:pPr>
        <w:pStyle w:val="BodyCopy"/>
        <w:ind w:left="720"/>
      </w:pPr>
      <w:r>
        <w:rPr>
          <w:noProof/>
        </w:rPr>
        <w:drawing>
          <wp:inline distT="0" distB="0" distL="0" distR="0">
            <wp:extent cx="6421755" cy="169037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6421755" cy="1690370"/>
                    </a:xfrm>
                    <a:prstGeom prst="rect">
                      <a:avLst/>
                    </a:prstGeom>
                    <a:noFill/>
                    <a:ln w="9525">
                      <a:noFill/>
                      <a:miter lim="800000"/>
                      <a:headEnd/>
                      <a:tailEnd/>
                    </a:ln>
                  </pic:spPr>
                </pic:pic>
              </a:graphicData>
            </a:graphic>
          </wp:inline>
        </w:drawing>
      </w:r>
    </w:p>
    <w:p w:rsidR="00D86C61" w:rsidRDefault="00D86C61" w:rsidP="00D86C61">
      <w:pPr>
        <w:pStyle w:val="BodyCopy"/>
      </w:pPr>
    </w:p>
    <w:p w:rsidR="00324417" w:rsidRDefault="00D86C61" w:rsidP="00A130C5">
      <w:pPr>
        <w:pStyle w:val="BodyCopy"/>
        <w:numPr>
          <w:ilvl w:val="0"/>
          <w:numId w:val="15"/>
        </w:numPr>
      </w:pPr>
      <w:r>
        <w:t>Clusterware information</w:t>
      </w:r>
      <w:r w:rsidR="00FF573E">
        <w:t xml:space="preserve"> is validate</w:t>
      </w:r>
      <w:r w:rsidR="00F20F34">
        <w:t>d</w:t>
      </w:r>
      <w:r w:rsidR="00FF573E">
        <w:t xml:space="preserve"> against the set standards. In this example you will see the valid domains, regions that need to be set.  START_OPTIONS is required to set to </w:t>
      </w:r>
      <w:r w:rsidR="00FF573E">
        <w:rPr>
          <w:i/>
        </w:rPr>
        <w:t xml:space="preserve">mount </w:t>
      </w:r>
      <w:r w:rsidR="00FF573E">
        <w:t xml:space="preserve">when Data Guard Broker is used.  It is also important to create all the primary database services on the standby database.  </w:t>
      </w:r>
    </w:p>
    <w:p w:rsidR="00D86C61" w:rsidRDefault="004749AF" w:rsidP="00D23763">
      <w:pPr>
        <w:pStyle w:val="BodyCopy"/>
        <w:ind w:left="360"/>
      </w:pPr>
      <w:r>
        <w:rPr>
          <w:noProof/>
        </w:rPr>
        <w:lastRenderedPageBreak/>
        <w:drawing>
          <wp:inline distT="0" distB="0" distL="0" distR="0">
            <wp:extent cx="6826250" cy="213741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826250" cy="2137410"/>
                    </a:xfrm>
                    <a:prstGeom prst="rect">
                      <a:avLst/>
                    </a:prstGeom>
                    <a:noFill/>
                    <a:ln w="9525">
                      <a:noFill/>
                      <a:miter lim="800000"/>
                      <a:headEnd/>
                      <a:tailEnd/>
                    </a:ln>
                  </pic:spPr>
                </pic:pic>
              </a:graphicData>
            </a:graphic>
          </wp:inline>
        </w:drawing>
      </w:r>
    </w:p>
    <w:p w:rsidR="00D86C61" w:rsidRDefault="00D86C61" w:rsidP="00D86C61">
      <w:pPr>
        <w:pStyle w:val="BodyCopy"/>
        <w:ind w:left="720"/>
      </w:pPr>
    </w:p>
    <w:p w:rsidR="000231E4" w:rsidRPr="000231E4" w:rsidRDefault="00D86C61" w:rsidP="000231E4">
      <w:pPr>
        <w:pStyle w:val="BodyCopy"/>
        <w:numPr>
          <w:ilvl w:val="0"/>
          <w:numId w:val="15"/>
        </w:numPr>
      </w:pPr>
      <w:r>
        <w:t>Broker Validatio</w:t>
      </w:r>
      <w:r w:rsidR="00A44FAF">
        <w:t>n</w:t>
      </w:r>
      <w:r w:rsidR="00F1314B">
        <w:t>:  DGCVU extracts the configuration status from Data Guard Broker command line utility “</w:t>
      </w:r>
      <w:r w:rsidR="00F1314B">
        <w:rPr>
          <w:i/>
        </w:rPr>
        <w:t>dgmgrl”</w:t>
      </w:r>
      <w:r w:rsidR="00F1314B">
        <w:t xml:space="preserve">.  </w:t>
      </w:r>
      <w:r w:rsidR="00AA097A">
        <w:t>In the following, broker is configured properly and no errors are reported in the configuration.</w:t>
      </w:r>
    </w:p>
    <w:p w:rsidR="00236052" w:rsidRDefault="004749AF" w:rsidP="00AA097A">
      <w:pPr>
        <w:pStyle w:val="BodyCopy"/>
        <w:ind w:left="360"/>
      </w:pPr>
      <w:r>
        <w:rPr>
          <w:noProof/>
        </w:rPr>
        <w:drawing>
          <wp:inline distT="0" distB="0" distL="0" distR="0">
            <wp:extent cx="4859020" cy="61658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4859020" cy="616585"/>
                    </a:xfrm>
                    <a:prstGeom prst="rect">
                      <a:avLst/>
                    </a:prstGeom>
                    <a:noFill/>
                    <a:ln w="9525">
                      <a:noFill/>
                      <a:miter lim="800000"/>
                      <a:headEnd/>
                      <a:tailEnd/>
                    </a:ln>
                  </pic:spPr>
                </pic:pic>
              </a:graphicData>
            </a:graphic>
          </wp:inline>
        </w:drawing>
      </w:r>
    </w:p>
    <w:p w:rsidR="00236052" w:rsidRDefault="00236052" w:rsidP="00236052">
      <w:pPr>
        <w:pStyle w:val="BodyCopy"/>
      </w:pPr>
    </w:p>
    <w:p w:rsidR="00236052" w:rsidRDefault="00236052" w:rsidP="009F1386">
      <w:pPr>
        <w:pStyle w:val="Subhead1"/>
      </w:pPr>
      <w:r>
        <w:t>Orac</w:t>
      </w:r>
      <w:r w:rsidR="00C721E9">
        <w:t>le Enterprise Manager</w:t>
      </w:r>
      <w:r w:rsidR="00A91855">
        <w:t>(OEM)</w:t>
      </w:r>
    </w:p>
    <w:p w:rsidR="00236052" w:rsidRDefault="00C721E9" w:rsidP="00236052">
      <w:pPr>
        <w:pStyle w:val="BodyCopy"/>
      </w:pPr>
      <w:r>
        <w:t xml:space="preserve">In the recent years Oracle Enterprise Manager </w:t>
      </w:r>
      <w:r w:rsidR="00CF0AB2">
        <w:t xml:space="preserve">( Grid Control) has emerged as </w:t>
      </w:r>
      <w:r>
        <w:t>an enterprise level monitoring solution</w:t>
      </w:r>
      <w:r w:rsidR="00CF0AB2">
        <w:t>.</w:t>
      </w:r>
      <w:r>
        <w:t xml:space="preserve"> </w:t>
      </w:r>
      <w:r w:rsidR="00A91855">
        <w:t xml:space="preserve">OEM has come a long way from it’s initial humble introduction as graphical user interface for database management to a one stop shop for enterprise level monitoring.  </w:t>
      </w:r>
    </w:p>
    <w:p w:rsidR="007B05CD" w:rsidRDefault="007B05CD" w:rsidP="009F1386">
      <w:pPr>
        <w:pStyle w:val="Subhead2"/>
      </w:pPr>
    </w:p>
    <w:p w:rsidR="007B05CD" w:rsidRDefault="007B05CD" w:rsidP="009F1386">
      <w:pPr>
        <w:pStyle w:val="Subhead2"/>
      </w:pPr>
      <w:r>
        <w:t>Default Monitoring</w:t>
      </w:r>
    </w:p>
    <w:p w:rsidR="007B05CD" w:rsidRDefault="007B05CD" w:rsidP="007B05CD">
      <w:pPr>
        <w:pStyle w:val="BodyCopy"/>
      </w:pPr>
      <w:r>
        <w:t>Out-of-box, Enterprise Manager can monitor the most common hardware and applications (target types) u</w:t>
      </w:r>
      <w:r w:rsidR="00CF0AB2">
        <w:t xml:space="preserve">sed in enterprise environments.  </w:t>
      </w:r>
      <w:r>
        <w:t>Because it is not possible to anticipate all possible target types that may exist in your IT environment, Enterprise Manager provides a modular way to extend monitoring capabilities called Management Plug-ins.  A Management Plug-in lets you create custom target types that allow you to monitor applications or hardware unique to your enterprise directly from the Enterprise Manager console. You simply deploy the Management Plug-in to Management Agents throughout your enterprise.</w:t>
      </w:r>
    </w:p>
    <w:p w:rsidR="007B05CD" w:rsidRDefault="007B05CD" w:rsidP="007B05CD">
      <w:pPr>
        <w:pStyle w:val="BodyCopy"/>
      </w:pPr>
    </w:p>
    <w:p w:rsidR="007B05CD" w:rsidRDefault="007B05CD" w:rsidP="009F1386">
      <w:pPr>
        <w:pStyle w:val="Subhead2"/>
      </w:pPr>
      <w:r>
        <w:t>Exte</w:t>
      </w:r>
      <w:r w:rsidR="004138E2">
        <w:t>nding Oracle Enterprise Manager</w:t>
      </w:r>
    </w:p>
    <w:p w:rsidR="007B05CD" w:rsidRDefault="007B05CD" w:rsidP="007B05CD">
      <w:pPr>
        <w:pStyle w:val="BodyCopy"/>
      </w:pPr>
      <w:r>
        <w:t xml:space="preserve">SELECT journal (Quarter 2 2006 </w:t>
      </w:r>
      <w:r w:rsidR="00360986">
        <w:t xml:space="preserve">and </w:t>
      </w:r>
      <w:r w:rsidR="00A454C0">
        <w:t>Quarter 3 2007</w:t>
      </w:r>
      <w:r>
        <w:t>) published article</w:t>
      </w:r>
      <w:r w:rsidR="00A454C0">
        <w:t>s</w:t>
      </w:r>
      <w:r>
        <w:t xml:space="preserve"> </w:t>
      </w:r>
      <w:r w:rsidR="00A454C0">
        <w:t xml:space="preserve">by Alex Gorbachev </w:t>
      </w:r>
      <w:r>
        <w:t xml:space="preserve">“Extending Oracle Enterprise Manager 10g” </w:t>
      </w:r>
      <w:r w:rsidR="00CF0AB2">
        <w:t>[</w:t>
      </w:r>
      <w:r w:rsidR="00360986">
        <w:t>5, 6</w:t>
      </w:r>
      <w:r w:rsidR="00CF0AB2">
        <w:t>]</w:t>
      </w:r>
      <w:r w:rsidR="00A454C0">
        <w:t xml:space="preserve"> are </w:t>
      </w:r>
      <w:r w:rsidR="00360986">
        <w:t xml:space="preserve">some </w:t>
      </w:r>
      <w:r>
        <w:t xml:space="preserve">of the best resources on how to create a custom management plug for operating system level scripts and embed them in to your enterprise monitoring.  Oracle’s “Extensibility Guide” </w:t>
      </w:r>
      <w:r w:rsidR="00CF0AB2">
        <w:t xml:space="preserve">[6] </w:t>
      </w:r>
      <w:r>
        <w:t xml:space="preserve">is also a good reference to </w:t>
      </w:r>
      <w:r w:rsidR="00CF0AB2">
        <w:t xml:space="preserve">understand </w:t>
      </w:r>
      <w:r>
        <w:t xml:space="preserve">the internals on extending management plug-ins. </w:t>
      </w:r>
    </w:p>
    <w:p w:rsidR="004138E2" w:rsidRDefault="004138E2" w:rsidP="007B05CD">
      <w:pPr>
        <w:pStyle w:val="BodyCopy"/>
      </w:pPr>
    </w:p>
    <w:p w:rsidR="00075D9D" w:rsidRDefault="004138E2" w:rsidP="00236052">
      <w:pPr>
        <w:pStyle w:val="BodyCopy"/>
      </w:pPr>
      <w:r>
        <w:t xml:space="preserve">Now that </w:t>
      </w:r>
      <w:r w:rsidR="00360986">
        <w:t xml:space="preserve">you </w:t>
      </w:r>
      <w:r>
        <w:t>have a custom script that can validate your Data Guard environment, you can use the extensibility features to extend the default monitoring to alert on your business needs.  Using the DGCVU output in its entirety as a new target type can be a bit over whelming.  Depending on your organizational needs you can choose what elements can be used to be monitored by OEM.</w:t>
      </w:r>
    </w:p>
    <w:p w:rsidR="00501C5A" w:rsidRDefault="00501C5A" w:rsidP="009F1386">
      <w:pPr>
        <w:pStyle w:val="Subhead1"/>
      </w:pPr>
    </w:p>
    <w:p w:rsidR="00236052" w:rsidRDefault="00236052" w:rsidP="009F1386">
      <w:pPr>
        <w:pStyle w:val="Subhead1"/>
      </w:pPr>
      <w:r>
        <w:t>References</w:t>
      </w:r>
    </w:p>
    <w:p w:rsidR="00B95766" w:rsidRDefault="00B95766" w:rsidP="00B95766">
      <w:pPr>
        <w:pStyle w:val="BodyCopy"/>
        <w:numPr>
          <w:ilvl w:val="0"/>
          <w:numId w:val="14"/>
        </w:numPr>
      </w:pPr>
      <w:r>
        <w:t xml:space="preserve">Oracle MAA White Paper: </w:t>
      </w:r>
      <w:hyperlink r:id="rId18" w:history="1">
        <w:r w:rsidRPr="00FA660A">
          <w:rPr>
            <w:rStyle w:val="Hyperlink"/>
          </w:rPr>
          <w:t>http://www.oracle.com/technology/deploy/availability/pdf/MAA_WP_10g_RACPrimaryRACPhysicalStandby.pdf</w:t>
        </w:r>
      </w:hyperlink>
    </w:p>
    <w:p w:rsidR="00204578" w:rsidRDefault="00204578" w:rsidP="000231E4">
      <w:pPr>
        <w:pStyle w:val="BodyCopy"/>
        <w:numPr>
          <w:ilvl w:val="0"/>
          <w:numId w:val="14"/>
        </w:numPr>
      </w:pPr>
      <w:r>
        <w:t>Oracle Data Guard Concepts and Administration 10g Release 2: B14239-04</w:t>
      </w:r>
    </w:p>
    <w:p w:rsidR="00204578" w:rsidRDefault="00204578" w:rsidP="00204578">
      <w:pPr>
        <w:pStyle w:val="BodyCopy"/>
        <w:numPr>
          <w:ilvl w:val="0"/>
          <w:numId w:val="14"/>
        </w:numPr>
      </w:pPr>
      <w:r>
        <w:t>Oracle Data Guard Broker 10g Release 2: B14230-02</w:t>
      </w:r>
    </w:p>
    <w:p w:rsidR="00A91855" w:rsidRDefault="00A91855" w:rsidP="000231E4">
      <w:pPr>
        <w:pStyle w:val="BodyCopy"/>
        <w:numPr>
          <w:ilvl w:val="0"/>
          <w:numId w:val="14"/>
        </w:numPr>
      </w:pPr>
      <w:r>
        <w:t>Oracle Enterprise Manager Extensibility Guide for 10g Release 2:</w:t>
      </w:r>
      <w:r w:rsidRPr="00A91855">
        <w:t xml:space="preserve"> </w:t>
      </w:r>
      <w:r>
        <w:t>B16246-02</w:t>
      </w:r>
    </w:p>
    <w:p w:rsidR="00A91855" w:rsidRDefault="00A91855" w:rsidP="000231E4">
      <w:pPr>
        <w:pStyle w:val="BodyCopy"/>
        <w:numPr>
          <w:ilvl w:val="0"/>
          <w:numId w:val="14"/>
        </w:numPr>
      </w:pPr>
      <w:r>
        <w:t>Extending Grid Co</w:t>
      </w:r>
      <w:r w:rsidR="007B05CD">
        <w:t xml:space="preserve">ntrol by Alex Gorbachev: </w:t>
      </w:r>
      <w:hyperlink r:id="rId19" w:history="1">
        <w:r w:rsidR="007B05CD" w:rsidRPr="00535B74">
          <w:rPr>
            <w:rStyle w:val="Hyperlink"/>
          </w:rPr>
          <w:t>http://www.oracloid.com/papers/ExtendingOracleEnterpriseManager10g.pdf</w:t>
        </w:r>
      </w:hyperlink>
    </w:p>
    <w:p w:rsidR="006E5417" w:rsidRDefault="00443C25" w:rsidP="00360986">
      <w:pPr>
        <w:pStyle w:val="BodyCopy"/>
        <w:numPr>
          <w:ilvl w:val="0"/>
          <w:numId w:val="14"/>
        </w:numPr>
      </w:pPr>
      <w:r>
        <w:t xml:space="preserve">Management Plug-ins for 10g Grid Control by Alex Gorbachev: </w:t>
      </w:r>
      <w:hyperlink r:id="rId20" w:history="1">
        <w:r w:rsidRPr="00F71611">
          <w:rPr>
            <w:rStyle w:val="Hyperlink"/>
          </w:rPr>
          <w:t>http://www.ioug.org/private_files.cfm/selectjournal/issues/07q3/SELECT-Q307_Gorbachev-Plug.pdf?redirect=true&amp;file_name=selectjournal/issues/07q3/SELECT-Q307_Gorbachev-Plug.pdf&amp;CFID=6190371&amp;CFTOKEN=80678233</w:t>
        </w:r>
      </w:hyperlink>
    </w:p>
    <w:p w:rsidR="005D5302" w:rsidRDefault="005D5302" w:rsidP="005D5302">
      <w:pPr>
        <w:pStyle w:val="Subhead1"/>
      </w:pPr>
    </w:p>
    <w:p w:rsidR="00566720" w:rsidRDefault="00566720" w:rsidP="00566720">
      <w:pPr>
        <w:autoSpaceDE w:val="0"/>
        <w:autoSpaceDN w:val="0"/>
        <w:adjustRightInd w:val="0"/>
        <w:spacing w:before="0" w:after="0"/>
        <w:rPr>
          <w:rFonts w:ascii="Calibri" w:hAnsi="Calibri" w:cs="Calibri"/>
          <w:color w:val="000000"/>
          <w:sz w:val="20"/>
        </w:rPr>
      </w:pPr>
      <w:r>
        <w:rPr>
          <w:rFonts w:ascii="Calibri" w:hAnsi="Calibri" w:cs="Calibri"/>
          <w:color w:val="000000"/>
          <w:sz w:val="20"/>
        </w:rPr>
        <w:t>THIS WHITE PAPER IS FOR INFORMATIONAL PURPOSES ONLY, AND MAY CONTAIN TYPOGRAPHICAL ERRORS AND TECHNICAL INACCURACIES. THE CONTENT IS PROVIDED AS IS, WITHOUT EXPRESS OR IMPLIED WARRANTIES OF ANY KIND.</w:t>
      </w:r>
    </w:p>
    <w:p w:rsidR="00566720" w:rsidRDefault="00566720" w:rsidP="00566720">
      <w:pPr>
        <w:autoSpaceDE w:val="0"/>
        <w:autoSpaceDN w:val="0"/>
        <w:adjustRightInd w:val="0"/>
        <w:spacing w:before="0" w:after="0"/>
        <w:rPr>
          <w:rFonts w:ascii="Calibri" w:hAnsi="Calibri" w:cs="Calibri"/>
          <w:color w:val="000000"/>
          <w:sz w:val="20"/>
        </w:rPr>
      </w:pPr>
    </w:p>
    <w:p w:rsidR="000750C3" w:rsidRDefault="000750C3" w:rsidP="000750C3">
      <w:pPr>
        <w:pStyle w:val="BodyCopy"/>
      </w:pPr>
      <w:r>
        <w:rPr>
          <w:rFonts w:ascii="Calibri" w:hAnsi="Calibri" w:cs="Calibri"/>
          <w:color w:val="000000"/>
          <w:sz w:val="20"/>
        </w:rPr>
        <w:t>Oracle, Data Guard and Enterprise Manager</w:t>
      </w:r>
      <w:r w:rsidR="00566720">
        <w:rPr>
          <w:rFonts w:ascii="Calibri" w:hAnsi="Calibri" w:cs="Calibri"/>
          <w:color w:val="000000"/>
          <w:sz w:val="20"/>
        </w:rPr>
        <w:t xml:space="preserve"> are registered trademarks of </w:t>
      </w:r>
      <w:r>
        <w:rPr>
          <w:rFonts w:ascii="Calibri" w:hAnsi="Calibri" w:cs="Calibri"/>
          <w:color w:val="000000"/>
          <w:sz w:val="20"/>
        </w:rPr>
        <w:t xml:space="preserve">Oracle </w:t>
      </w:r>
      <w:r w:rsidR="00566720">
        <w:rPr>
          <w:rFonts w:ascii="Calibri" w:hAnsi="Calibri" w:cs="Calibri"/>
          <w:color w:val="000000"/>
          <w:sz w:val="20"/>
        </w:rPr>
        <w:t>Corporatio</w:t>
      </w:r>
      <w:r>
        <w:rPr>
          <w:rFonts w:ascii="Calibri" w:hAnsi="Calibri" w:cs="Calibri"/>
          <w:color w:val="000000"/>
          <w:sz w:val="20"/>
        </w:rPr>
        <w:t xml:space="preserve">n.  </w:t>
      </w:r>
      <w:r>
        <w:t>Linux is a registered trademark</w:t>
      </w:r>
    </w:p>
    <w:p w:rsidR="00C97B27" w:rsidRPr="000750C3" w:rsidRDefault="000750C3" w:rsidP="000750C3">
      <w:pPr>
        <w:autoSpaceDE w:val="0"/>
        <w:autoSpaceDN w:val="0"/>
        <w:adjustRightInd w:val="0"/>
        <w:spacing w:before="0" w:after="0"/>
        <w:rPr>
          <w:rFonts w:ascii="Calibri" w:hAnsi="Calibri" w:cs="Calibri"/>
          <w:color w:val="000000"/>
          <w:sz w:val="20"/>
        </w:rPr>
      </w:pPr>
      <w:r>
        <w:t xml:space="preserve">of Linus Torvalds. </w:t>
      </w:r>
      <w:r w:rsidR="00566720">
        <w:rPr>
          <w:rFonts w:ascii="Calibri" w:hAnsi="Calibri" w:cs="Calibri"/>
          <w:color w:val="000000"/>
          <w:sz w:val="20"/>
        </w:rPr>
        <w:t xml:space="preserve">Other trademarks and trade names may be used in this document to refer to either the entities claiming the marks and names or their products.  Dell disclaims proprietary interest in the marks and names of others.  </w:t>
      </w:r>
    </w:p>
    <w:p w:rsidR="005D5302" w:rsidRPr="00360986" w:rsidRDefault="005D5302" w:rsidP="005D5302">
      <w:pPr>
        <w:pStyle w:val="BodyCopy"/>
      </w:pPr>
    </w:p>
    <w:sectPr w:rsidR="005D5302" w:rsidRPr="00360986" w:rsidSect="00E413D1">
      <w:headerReference w:type="default" r:id="rId21"/>
      <w:footerReference w:type="default" r:id="rId22"/>
      <w:type w:val="continuous"/>
      <w:pgSz w:w="12240" w:h="15840" w:code="1"/>
      <w:pgMar w:top="1728" w:right="720" w:bottom="1008" w:left="720" w:header="10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508" w:rsidRDefault="003B0508">
      <w:r>
        <w:separator/>
      </w:r>
    </w:p>
  </w:endnote>
  <w:endnote w:type="continuationSeparator" w:id="1">
    <w:p w:rsidR="003B0508" w:rsidRDefault="003B0508">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27" w:rsidRDefault="00C97B27" w:rsidP="006B447F">
    <w:pPr>
      <w:pStyle w:val="Footer"/>
      <w:tabs>
        <w:tab w:val="clear" w:pos="4320"/>
        <w:tab w:val="clear" w:pos="8640"/>
        <w:tab w:val="right" w:pos="5310"/>
      </w:tabs>
    </w:pPr>
    <w:r>
      <w:rPr>
        <w:rStyle w:val="PageNumber"/>
      </w:rPr>
      <w:tab/>
    </w:r>
    <w:r w:rsidR="002F0EF9">
      <w:rPr>
        <w:rStyle w:val="PageNumber"/>
      </w:rPr>
      <w:fldChar w:fldCharType="begin"/>
    </w:r>
    <w:r>
      <w:rPr>
        <w:rStyle w:val="PageNumber"/>
      </w:rPr>
      <w:instrText xml:space="preserve"> PAGE </w:instrText>
    </w:r>
    <w:r w:rsidR="002F0EF9">
      <w:rPr>
        <w:rStyle w:val="PageNumber"/>
      </w:rPr>
      <w:fldChar w:fldCharType="separate"/>
    </w:r>
    <w:r w:rsidR="000750C3">
      <w:rPr>
        <w:rStyle w:val="PageNumber"/>
        <w:noProof/>
      </w:rPr>
      <w:t>11</w:t>
    </w:r>
    <w:r w:rsidR="002F0EF9">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t>316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508" w:rsidRDefault="003B0508">
      <w:r>
        <w:separator/>
      </w:r>
    </w:p>
  </w:footnote>
  <w:footnote w:type="continuationSeparator" w:id="1">
    <w:p w:rsidR="003B0508" w:rsidRDefault="003B0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27" w:rsidRDefault="00C97B27">
    <w:pPr>
      <w:pStyle w:val="Header"/>
      <w:jc w:val="right"/>
    </w:pPr>
    <w:r>
      <w:t>Database, Monitoring, Data Guard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6A6"/>
    <w:multiLevelType w:val="hybridMultilevel"/>
    <w:tmpl w:val="51E6792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549D2"/>
    <w:multiLevelType w:val="hybridMultilevel"/>
    <w:tmpl w:val="6B06329E"/>
    <w:lvl w:ilvl="0" w:tplc="34A03B30">
      <w:start w:val="1"/>
      <w:numFmt w:val="decimal"/>
      <w:lvlText w:val="%1."/>
      <w:lvlJc w:val="left"/>
      <w:pPr>
        <w:tabs>
          <w:tab w:val="num" w:pos="720"/>
        </w:tabs>
        <w:ind w:left="720" w:hanging="360"/>
      </w:pPr>
    </w:lvl>
    <w:lvl w:ilvl="1" w:tplc="02CA7510" w:tentative="1">
      <w:start w:val="1"/>
      <w:numFmt w:val="decimal"/>
      <w:lvlText w:val="%2."/>
      <w:lvlJc w:val="left"/>
      <w:pPr>
        <w:tabs>
          <w:tab w:val="num" w:pos="1440"/>
        </w:tabs>
        <w:ind w:left="1440" w:hanging="360"/>
      </w:pPr>
    </w:lvl>
    <w:lvl w:ilvl="2" w:tplc="44D06764" w:tentative="1">
      <w:start w:val="1"/>
      <w:numFmt w:val="decimal"/>
      <w:lvlText w:val="%3."/>
      <w:lvlJc w:val="left"/>
      <w:pPr>
        <w:tabs>
          <w:tab w:val="num" w:pos="2160"/>
        </w:tabs>
        <w:ind w:left="2160" w:hanging="360"/>
      </w:pPr>
    </w:lvl>
    <w:lvl w:ilvl="3" w:tplc="0016C5B6" w:tentative="1">
      <w:start w:val="1"/>
      <w:numFmt w:val="decimal"/>
      <w:lvlText w:val="%4."/>
      <w:lvlJc w:val="left"/>
      <w:pPr>
        <w:tabs>
          <w:tab w:val="num" w:pos="2880"/>
        </w:tabs>
        <w:ind w:left="2880" w:hanging="360"/>
      </w:pPr>
    </w:lvl>
    <w:lvl w:ilvl="4" w:tplc="7E3436BE" w:tentative="1">
      <w:start w:val="1"/>
      <w:numFmt w:val="decimal"/>
      <w:lvlText w:val="%5."/>
      <w:lvlJc w:val="left"/>
      <w:pPr>
        <w:tabs>
          <w:tab w:val="num" w:pos="3600"/>
        </w:tabs>
        <w:ind w:left="3600" w:hanging="360"/>
      </w:pPr>
    </w:lvl>
    <w:lvl w:ilvl="5" w:tplc="8B1A0A4A" w:tentative="1">
      <w:start w:val="1"/>
      <w:numFmt w:val="decimal"/>
      <w:lvlText w:val="%6."/>
      <w:lvlJc w:val="left"/>
      <w:pPr>
        <w:tabs>
          <w:tab w:val="num" w:pos="4320"/>
        </w:tabs>
        <w:ind w:left="4320" w:hanging="360"/>
      </w:pPr>
    </w:lvl>
    <w:lvl w:ilvl="6" w:tplc="2AB02382" w:tentative="1">
      <w:start w:val="1"/>
      <w:numFmt w:val="decimal"/>
      <w:lvlText w:val="%7."/>
      <w:lvlJc w:val="left"/>
      <w:pPr>
        <w:tabs>
          <w:tab w:val="num" w:pos="5040"/>
        </w:tabs>
        <w:ind w:left="5040" w:hanging="360"/>
      </w:pPr>
    </w:lvl>
    <w:lvl w:ilvl="7" w:tplc="970ACFD0" w:tentative="1">
      <w:start w:val="1"/>
      <w:numFmt w:val="decimal"/>
      <w:lvlText w:val="%8."/>
      <w:lvlJc w:val="left"/>
      <w:pPr>
        <w:tabs>
          <w:tab w:val="num" w:pos="5760"/>
        </w:tabs>
        <w:ind w:left="5760" w:hanging="360"/>
      </w:pPr>
    </w:lvl>
    <w:lvl w:ilvl="8" w:tplc="DEE80A5E" w:tentative="1">
      <w:start w:val="1"/>
      <w:numFmt w:val="decimal"/>
      <w:lvlText w:val="%9."/>
      <w:lvlJc w:val="left"/>
      <w:pPr>
        <w:tabs>
          <w:tab w:val="num" w:pos="6480"/>
        </w:tabs>
        <w:ind w:left="6480" w:hanging="360"/>
      </w:pPr>
    </w:lvl>
  </w:abstractNum>
  <w:abstractNum w:abstractNumId="2">
    <w:nsid w:val="0EAE6923"/>
    <w:multiLevelType w:val="hybridMultilevel"/>
    <w:tmpl w:val="78365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30F9C"/>
    <w:multiLevelType w:val="hybridMultilevel"/>
    <w:tmpl w:val="EB0CE618"/>
    <w:lvl w:ilvl="0" w:tplc="92544494">
      <w:numFmt w:val="bullet"/>
      <w:lvlText w:val="•"/>
      <w:lvlJc w:val="left"/>
      <w:pPr>
        <w:ind w:left="720" w:hanging="360"/>
      </w:pPr>
      <w:rPr>
        <w:rFonts w:ascii="Garamond" w:hAnsi="Garamond"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02136"/>
    <w:multiLevelType w:val="hybridMultilevel"/>
    <w:tmpl w:val="9628F466"/>
    <w:lvl w:ilvl="0" w:tplc="A60C9772">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F86D1D"/>
    <w:multiLevelType w:val="hybridMultilevel"/>
    <w:tmpl w:val="69AEC4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EC250F"/>
    <w:multiLevelType w:val="hybridMultilevel"/>
    <w:tmpl w:val="BE3C7434"/>
    <w:lvl w:ilvl="0" w:tplc="92544494">
      <w:numFmt w:val="bullet"/>
      <w:lvlText w:val="•"/>
      <w:lvlJc w:val="left"/>
      <w:pPr>
        <w:ind w:left="720" w:hanging="360"/>
      </w:pPr>
      <w:rPr>
        <w:rFonts w:ascii="Garamond" w:hAnsi="Garamond"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B2CC5"/>
    <w:multiLevelType w:val="hybridMultilevel"/>
    <w:tmpl w:val="931C27DE"/>
    <w:lvl w:ilvl="0" w:tplc="92544494">
      <w:numFmt w:val="bullet"/>
      <w:lvlText w:val="•"/>
      <w:lvlJc w:val="left"/>
      <w:pPr>
        <w:ind w:left="1440" w:hanging="360"/>
      </w:pPr>
      <w:rPr>
        <w:rFonts w:ascii="Garamond" w:hAnsi="Garamond" w:cs="Times New Roman"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9A74C7"/>
    <w:multiLevelType w:val="hybridMultilevel"/>
    <w:tmpl w:val="89D2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17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4BF7C88"/>
    <w:multiLevelType w:val="hybridMultilevel"/>
    <w:tmpl w:val="70BA0D90"/>
    <w:lvl w:ilvl="0" w:tplc="A0568DFA">
      <w:start w:val="1"/>
      <w:numFmt w:val="bullet"/>
      <w:lvlText w:val="•"/>
      <w:lvlJc w:val="left"/>
      <w:pPr>
        <w:tabs>
          <w:tab w:val="num" w:pos="720"/>
        </w:tabs>
        <w:ind w:left="720" w:hanging="360"/>
      </w:pPr>
      <w:rPr>
        <w:rFonts w:ascii="Times New Roman" w:hAnsi="Times New Roman" w:hint="default"/>
      </w:rPr>
    </w:lvl>
    <w:lvl w:ilvl="1" w:tplc="551A41F0" w:tentative="1">
      <w:start w:val="1"/>
      <w:numFmt w:val="bullet"/>
      <w:lvlText w:val="•"/>
      <w:lvlJc w:val="left"/>
      <w:pPr>
        <w:tabs>
          <w:tab w:val="num" w:pos="1440"/>
        </w:tabs>
        <w:ind w:left="1440" w:hanging="360"/>
      </w:pPr>
      <w:rPr>
        <w:rFonts w:ascii="Times New Roman" w:hAnsi="Times New Roman" w:hint="default"/>
      </w:rPr>
    </w:lvl>
    <w:lvl w:ilvl="2" w:tplc="F384C33E" w:tentative="1">
      <w:start w:val="1"/>
      <w:numFmt w:val="bullet"/>
      <w:lvlText w:val="•"/>
      <w:lvlJc w:val="left"/>
      <w:pPr>
        <w:tabs>
          <w:tab w:val="num" w:pos="2160"/>
        </w:tabs>
        <w:ind w:left="2160" w:hanging="360"/>
      </w:pPr>
      <w:rPr>
        <w:rFonts w:ascii="Times New Roman" w:hAnsi="Times New Roman" w:hint="default"/>
      </w:rPr>
    </w:lvl>
    <w:lvl w:ilvl="3" w:tplc="D0340D9A" w:tentative="1">
      <w:start w:val="1"/>
      <w:numFmt w:val="bullet"/>
      <w:lvlText w:val="•"/>
      <w:lvlJc w:val="left"/>
      <w:pPr>
        <w:tabs>
          <w:tab w:val="num" w:pos="2880"/>
        </w:tabs>
        <w:ind w:left="2880" w:hanging="360"/>
      </w:pPr>
      <w:rPr>
        <w:rFonts w:ascii="Times New Roman" w:hAnsi="Times New Roman" w:hint="default"/>
      </w:rPr>
    </w:lvl>
    <w:lvl w:ilvl="4" w:tplc="19E83D48" w:tentative="1">
      <w:start w:val="1"/>
      <w:numFmt w:val="bullet"/>
      <w:lvlText w:val="•"/>
      <w:lvlJc w:val="left"/>
      <w:pPr>
        <w:tabs>
          <w:tab w:val="num" w:pos="3600"/>
        </w:tabs>
        <w:ind w:left="3600" w:hanging="360"/>
      </w:pPr>
      <w:rPr>
        <w:rFonts w:ascii="Times New Roman" w:hAnsi="Times New Roman" w:hint="default"/>
      </w:rPr>
    </w:lvl>
    <w:lvl w:ilvl="5" w:tplc="54D4E1B4" w:tentative="1">
      <w:start w:val="1"/>
      <w:numFmt w:val="bullet"/>
      <w:lvlText w:val="•"/>
      <w:lvlJc w:val="left"/>
      <w:pPr>
        <w:tabs>
          <w:tab w:val="num" w:pos="4320"/>
        </w:tabs>
        <w:ind w:left="4320" w:hanging="360"/>
      </w:pPr>
      <w:rPr>
        <w:rFonts w:ascii="Times New Roman" w:hAnsi="Times New Roman" w:hint="default"/>
      </w:rPr>
    </w:lvl>
    <w:lvl w:ilvl="6" w:tplc="6108084E" w:tentative="1">
      <w:start w:val="1"/>
      <w:numFmt w:val="bullet"/>
      <w:lvlText w:val="•"/>
      <w:lvlJc w:val="left"/>
      <w:pPr>
        <w:tabs>
          <w:tab w:val="num" w:pos="5040"/>
        </w:tabs>
        <w:ind w:left="5040" w:hanging="360"/>
      </w:pPr>
      <w:rPr>
        <w:rFonts w:ascii="Times New Roman" w:hAnsi="Times New Roman" w:hint="default"/>
      </w:rPr>
    </w:lvl>
    <w:lvl w:ilvl="7" w:tplc="F33CF2B8" w:tentative="1">
      <w:start w:val="1"/>
      <w:numFmt w:val="bullet"/>
      <w:lvlText w:val="•"/>
      <w:lvlJc w:val="left"/>
      <w:pPr>
        <w:tabs>
          <w:tab w:val="num" w:pos="5760"/>
        </w:tabs>
        <w:ind w:left="5760" w:hanging="360"/>
      </w:pPr>
      <w:rPr>
        <w:rFonts w:ascii="Times New Roman" w:hAnsi="Times New Roman" w:hint="default"/>
      </w:rPr>
    </w:lvl>
    <w:lvl w:ilvl="8" w:tplc="1ADA87E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9E249A"/>
    <w:multiLevelType w:val="singleLevel"/>
    <w:tmpl w:val="3DBCB0A8"/>
    <w:lvl w:ilvl="0">
      <w:start w:val="1"/>
      <w:numFmt w:val="bullet"/>
      <w:lvlText w:val=""/>
      <w:lvlJc w:val="left"/>
      <w:pPr>
        <w:tabs>
          <w:tab w:val="num" w:pos="360"/>
        </w:tabs>
        <w:ind w:left="360" w:hanging="360"/>
      </w:pPr>
      <w:rPr>
        <w:rFonts w:ascii="Symbol" w:hAnsi="Symbol" w:hint="default"/>
      </w:rPr>
    </w:lvl>
  </w:abstractNum>
  <w:abstractNum w:abstractNumId="12">
    <w:nsid w:val="2E5F2485"/>
    <w:multiLevelType w:val="hybridMultilevel"/>
    <w:tmpl w:val="989AF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060501"/>
    <w:multiLevelType w:val="singleLevel"/>
    <w:tmpl w:val="EF9CEF2E"/>
    <w:lvl w:ilvl="0">
      <w:start w:val="1"/>
      <w:numFmt w:val="lowerLetter"/>
      <w:pStyle w:val="NumberedLists3"/>
      <w:lvlText w:val="%1)"/>
      <w:lvlJc w:val="left"/>
      <w:pPr>
        <w:tabs>
          <w:tab w:val="num" w:pos="360"/>
        </w:tabs>
        <w:ind w:left="360" w:hanging="360"/>
      </w:pPr>
    </w:lvl>
  </w:abstractNum>
  <w:abstractNum w:abstractNumId="14">
    <w:nsid w:val="41064F17"/>
    <w:multiLevelType w:val="singleLevel"/>
    <w:tmpl w:val="031A3F26"/>
    <w:lvl w:ilvl="0">
      <w:start w:val="1"/>
      <w:numFmt w:val="bullet"/>
      <w:lvlText w:val=""/>
      <w:lvlJc w:val="left"/>
      <w:pPr>
        <w:tabs>
          <w:tab w:val="num" w:pos="360"/>
        </w:tabs>
        <w:ind w:left="360" w:hanging="360"/>
      </w:pPr>
      <w:rPr>
        <w:rFonts w:ascii="Symbol" w:hAnsi="Symbol" w:hint="default"/>
      </w:rPr>
    </w:lvl>
  </w:abstractNum>
  <w:abstractNum w:abstractNumId="15">
    <w:nsid w:val="43C635EE"/>
    <w:multiLevelType w:val="hybridMultilevel"/>
    <w:tmpl w:val="7696C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097B6E"/>
    <w:multiLevelType w:val="hybridMultilevel"/>
    <w:tmpl w:val="F8D0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8B572A"/>
    <w:multiLevelType w:val="singleLevel"/>
    <w:tmpl w:val="9FB0985C"/>
    <w:lvl w:ilvl="0">
      <w:start w:val="1"/>
      <w:numFmt w:val="bullet"/>
      <w:pStyle w:val="Bullet"/>
      <w:lvlText w:val=""/>
      <w:lvlJc w:val="left"/>
      <w:pPr>
        <w:tabs>
          <w:tab w:val="num" w:pos="360"/>
        </w:tabs>
        <w:ind w:left="360" w:hanging="360"/>
      </w:pPr>
      <w:rPr>
        <w:rFonts w:ascii="Symbol" w:hAnsi="Symbol" w:hint="default"/>
      </w:rPr>
    </w:lvl>
  </w:abstractNum>
  <w:abstractNum w:abstractNumId="18">
    <w:nsid w:val="5A8A19E9"/>
    <w:multiLevelType w:val="singleLevel"/>
    <w:tmpl w:val="78F031C6"/>
    <w:lvl w:ilvl="0">
      <w:start w:val="1"/>
      <w:numFmt w:val="decimal"/>
      <w:pStyle w:val="NumberedLists"/>
      <w:lvlText w:val="%1."/>
      <w:lvlJc w:val="left"/>
      <w:pPr>
        <w:tabs>
          <w:tab w:val="num" w:pos="360"/>
        </w:tabs>
        <w:ind w:left="360" w:hanging="360"/>
      </w:pPr>
    </w:lvl>
  </w:abstractNum>
  <w:abstractNum w:abstractNumId="19">
    <w:nsid w:val="5AFB23B6"/>
    <w:multiLevelType w:val="hybridMultilevel"/>
    <w:tmpl w:val="67AA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82445"/>
    <w:multiLevelType w:val="hybridMultilevel"/>
    <w:tmpl w:val="646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572A6"/>
    <w:multiLevelType w:val="hybridMultilevel"/>
    <w:tmpl w:val="3ABCA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614242"/>
    <w:multiLevelType w:val="hybridMultilevel"/>
    <w:tmpl w:val="583443EA"/>
    <w:lvl w:ilvl="0" w:tplc="A60C9772">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A66B1D"/>
    <w:multiLevelType w:val="hybridMultilevel"/>
    <w:tmpl w:val="FA0645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850CF6"/>
    <w:multiLevelType w:val="singleLevel"/>
    <w:tmpl w:val="0FB4AB52"/>
    <w:lvl w:ilvl="0">
      <w:start w:val="1"/>
      <w:numFmt w:val="upperLetter"/>
      <w:pStyle w:val="NumberedLists2"/>
      <w:lvlText w:val="%1."/>
      <w:lvlJc w:val="left"/>
      <w:pPr>
        <w:tabs>
          <w:tab w:val="num" w:pos="360"/>
        </w:tabs>
        <w:ind w:left="360" w:hanging="360"/>
      </w:pPr>
    </w:lvl>
  </w:abstractNum>
  <w:abstractNum w:abstractNumId="25">
    <w:nsid w:val="7D550928"/>
    <w:multiLevelType w:val="singleLevel"/>
    <w:tmpl w:val="021EAF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4"/>
  </w:num>
  <w:num w:numId="3">
    <w:abstractNumId w:val="25"/>
  </w:num>
  <w:num w:numId="4">
    <w:abstractNumId w:val="11"/>
  </w:num>
  <w:num w:numId="5">
    <w:abstractNumId w:val="24"/>
  </w:num>
  <w:num w:numId="6">
    <w:abstractNumId w:val="13"/>
  </w:num>
  <w:num w:numId="7">
    <w:abstractNumId w:val="18"/>
  </w:num>
  <w:num w:numId="8">
    <w:abstractNumId w:val="16"/>
  </w:num>
  <w:num w:numId="9">
    <w:abstractNumId w:val="10"/>
  </w:num>
  <w:num w:numId="10">
    <w:abstractNumId w:val="1"/>
  </w:num>
  <w:num w:numId="11">
    <w:abstractNumId w:val="12"/>
  </w:num>
  <w:num w:numId="12">
    <w:abstractNumId w:val="21"/>
  </w:num>
  <w:num w:numId="13">
    <w:abstractNumId w:val="8"/>
  </w:num>
  <w:num w:numId="14">
    <w:abstractNumId w:val="2"/>
  </w:num>
  <w:num w:numId="15">
    <w:abstractNumId w:val="0"/>
  </w:num>
  <w:num w:numId="16">
    <w:abstractNumId w:val="5"/>
  </w:num>
  <w:num w:numId="17">
    <w:abstractNumId w:val="23"/>
  </w:num>
  <w:num w:numId="18">
    <w:abstractNumId w:val="6"/>
  </w:num>
  <w:num w:numId="19">
    <w:abstractNumId w:val="19"/>
  </w:num>
  <w:num w:numId="20">
    <w:abstractNumId w:val="22"/>
  </w:num>
  <w:num w:numId="21">
    <w:abstractNumId w:val="20"/>
  </w:num>
  <w:num w:numId="22">
    <w:abstractNumId w:val="15"/>
  </w:num>
  <w:num w:numId="23">
    <w:abstractNumId w:val="4"/>
  </w:num>
  <w:num w:numId="24">
    <w:abstractNumId w:val="7"/>
  </w:num>
  <w:num w:numId="25">
    <w:abstractNumId w:val="3"/>
  </w:num>
  <w:num w:numId="26">
    <w:abstractNumId w:val="17"/>
  </w:num>
  <w:num w:numId="27">
    <w:abstractNumId w:val="17"/>
  </w:num>
  <w:num w:numId="28">
    <w:abstractNumId w:val="17"/>
  </w:num>
  <w:num w:numId="29">
    <w:abstractNumId w:val="17"/>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w:hdrShapeDefaults>
  <w:footnotePr>
    <w:footnote w:id="0"/>
    <w:footnote w:id="1"/>
  </w:footnotePr>
  <w:endnotePr>
    <w:endnote w:id="0"/>
    <w:endnote w:id="1"/>
  </w:endnotePr>
  <w:compat/>
  <w:rsids>
    <w:rsidRoot w:val="009A1F56"/>
    <w:rsid w:val="000231E4"/>
    <w:rsid w:val="00034BDC"/>
    <w:rsid w:val="00040729"/>
    <w:rsid w:val="000750C3"/>
    <w:rsid w:val="00075D9D"/>
    <w:rsid w:val="00090515"/>
    <w:rsid w:val="0009422E"/>
    <w:rsid w:val="000B0323"/>
    <w:rsid w:val="000C5FE6"/>
    <w:rsid w:val="000F7498"/>
    <w:rsid w:val="00105815"/>
    <w:rsid w:val="001102D6"/>
    <w:rsid w:val="00113672"/>
    <w:rsid w:val="00134432"/>
    <w:rsid w:val="001442B2"/>
    <w:rsid w:val="00145CB0"/>
    <w:rsid w:val="00147086"/>
    <w:rsid w:val="00167C94"/>
    <w:rsid w:val="00196DCB"/>
    <w:rsid w:val="001A6B87"/>
    <w:rsid w:val="001A6BB2"/>
    <w:rsid w:val="001C2818"/>
    <w:rsid w:val="001D5908"/>
    <w:rsid w:val="001F5898"/>
    <w:rsid w:val="00204578"/>
    <w:rsid w:val="00217085"/>
    <w:rsid w:val="00231F2E"/>
    <w:rsid w:val="002344C6"/>
    <w:rsid w:val="002356AC"/>
    <w:rsid w:val="00236052"/>
    <w:rsid w:val="00267F34"/>
    <w:rsid w:val="002A0A36"/>
    <w:rsid w:val="002A13C9"/>
    <w:rsid w:val="002A2BB4"/>
    <w:rsid w:val="002C3797"/>
    <w:rsid w:val="002E4749"/>
    <w:rsid w:val="002F0EF9"/>
    <w:rsid w:val="00324417"/>
    <w:rsid w:val="00341E75"/>
    <w:rsid w:val="00352FCF"/>
    <w:rsid w:val="00360986"/>
    <w:rsid w:val="00370931"/>
    <w:rsid w:val="00374C11"/>
    <w:rsid w:val="00397742"/>
    <w:rsid w:val="003A4354"/>
    <w:rsid w:val="003B0508"/>
    <w:rsid w:val="003C2CE9"/>
    <w:rsid w:val="003D6923"/>
    <w:rsid w:val="003E61F2"/>
    <w:rsid w:val="003F24B4"/>
    <w:rsid w:val="003F2932"/>
    <w:rsid w:val="003F3119"/>
    <w:rsid w:val="003F64F1"/>
    <w:rsid w:val="00402436"/>
    <w:rsid w:val="004138E2"/>
    <w:rsid w:val="00443C25"/>
    <w:rsid w:val="004500EA"/>
    <w:rsid w:val="00461F02"/>
    <w:rsid w:val="0047279B"/>
    <w:rsid w:val="004749AF"/>
    <w:rsid w:val="004A3931"/>
    <w:rsid w:val="004B409A"/>
    <w:rsid w:val="004C39B6"/>
    <w:rsid w:val="004E3401"/>
    <w:rsid w:val="00501C5A"/>
    <w:rsid w:val="00511ECD"/>
    <w:rsid w:val="0053077B"/>
    <w:rsid w:val="00566720"/>
    <w:rsid w:val="00572CF2"/>
    <w:rsid w:val="00575A99"/>
    <w:rsid w:val="00575C90"/>
    <w:rsid w:val="00596332"/>
    <w:rsid w:val="005B0025"/>
    <w:rsid w:val="005B1181"/>
    <w:rsid w:val="005B4B20"/>
    <w:rsid w:val="005C6266"/>
    <w:rsid w:val="005D5302"/>
    <w:rsid w:val="005D6057"/>
    <w:rsid w:val="005E1135"/>
    <w:rsid w:val="005F54F0"/>
    <w:rsid w:val="005F762B"/>
    <w:rsid w:val="006307D6"/>
    <w:rsid w:val="00631A2E"/>
    <w:rsid w:val="006A2D0B"/>
    <w:rsid w:val="006A594F"/>
    <w:rsid w:val="006B447F"/>
    <w:rsid w:val="006B692D"/>
    <w:rsid w:val="006D0312"/>
    <w:rsid w:val="006E1AC3"/>
    <w:rsid w:val="006E5417"/>
    <w:rsid w:val="006E62A3"/>
    <w:rsid w:val="0070129D"/>
    <w:rsid w:val="00705E24"/>
    <w:rsid w:val="00715545"/>
    <w:rsid w:val="007262A5"/>
    <w:rsid w:val="007A1A9E"/>
    <w:rsid w:val="007B05CD"/>
    <w:rsid w:val="007E5C35"/>
    <w:rsid w:val="007E5F5F"/>
    <w:rsid w:val="008157FC"/>
    <w:rsid w:val="00854A1D"/>
    <w:rsid w:val="00885D78"/>
    <w:rsid w:val="00892104"/>
    <w:rsid w:val="008A46AD"/>
    <w:rsid w:val="008B7C32"/>
    <w:rsid w:val="008E5547"/>
    <w:rsid w:val="009079B0"/>
    <w:rsid w:val="009235C1"/>
    <w:rsid w:val="009835D5"/>
    <w:rsid w:val="009A1F56"/>
    <w:rsid w:val="009A5A66"/>
    <w:rsid w:val="009D1C51"/>
    <w:rsid w:val="009D25F1"/>
    <w:rsid w:val="009F1386"/>
    <w:rsid w:val="00A130C5"/>
    <w:rsid w:val="00A44FAF"/>
    <w:rsid w:val="00A454C0"/>
    <w:rsid w:val="00A66B81"/>
    <w:rsid w:val="00A91855"/>
    <w:rsid w:val="00AA097A"/>
    <w:rsid w:val="00AC5B57"/>
    <w:rsid w:val="00B329F2"/>
    <w:rsid w:val="00B67845"/>
    <w:rsid w:val="00B77353"/>
    <w:rsid w:val="00B95766"/>
    <w:rsid w:val="00BA05AA"/>
    <w:rsid w:val="00BA5A2C"/>
    <w:rsid w:val="00BB0C46"/>
    <w:rsid w:val="00C1188C"/>
    <w:rsid w:val="00C14F1D"/>
    <w:rsid w:val="00C23B09"/>
    <w:rsid w:val="00C56678"/>
    <w:rsid w:val="00C721E9"/>
    <w:rsid w:val="00C849A6"/>
    <w:rsid w:val="00C84B86"/>
    <w:rsid w:val="00C97B27"/>
    <w:rsid w:val="00CB66CF"/>
    <w:rsid w:val="00CD27DE"/>
    <w:rsid w:val="00CF0AB2"/>
    <w:rsid w:val="00D168D7"/>
    <w:rsid w:val="00D23763"/>
    <w:rsid w:val="00D36BAE"/>
    <w:rsid w:val="00D420C7"/>
    <w:rsid w:val="00D45162"/>
    <w:rsid w:val="00D86C61"/>
    <w:rsid w:val="00D946BE"/>
    <w:rsid w:val="00DC0503"/>
    <w:rsid w:val="00E07AAA"/>
    <w:rsid w:val="00E1415F"/>
    <w:rsid w:val="00E2473A"/>
    <w:rsid w:val="00E24E5E"/>
    <w:rsid w:val="00E37E76"/>
    <w:rsid w:val="00E413D1"/>
    <w:rsid w:val="00E5440E"/>
    <w:rsid w:val="00E609FE"/>
    <w:rsid w:val="00E75F94"/>
    <w:rsid w:val="00E8532D"/>
    <w:rsid w:val="00E86913"/>
    <w:rsid w:val="00E923EA"/>
    <w:rsid w:val="00E951F8"/>
    <w:rsid w:val="00EF1474"/>
    <w:rsid w:val="00F02411"/>
    <w:rsid w:val="00F1314B"/>
    <w:rsid w:val="00F20F34"/>
    <w:rsid w:val="00F62557"/>
    <w:rsid w:val="00F65EE0"/>
    <w:rsid w:val="00F93180"/>
    <w:rsid w:val="00FA660A"/>
    <w:rsid w:val="00FA6AB1"/>
    <w:rsid w:val="00FD7925"/>
    <w:rsid w:val="00FE29F5"/>
    <w:rsid w:val="00FE31C6"/>
    <w:rsid w:val="00FF5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3D1"/>
    <w:pPr>
      <w:spacing w:before="40" w:after="40"/>
    </w:pPr>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13D1"/>
    <w:pPr>
      <w:tabs>
        <w:tab w:val="center" w:pos="4320"/>
        <w:tab w:val="right" w:pos="8640"/>
      </w:tabs>
    </w:pPr>
    <w:rPr>
      <w:rFonts w:ascii="Arial" w:hAnsi="Arial"/>
      <w:sz w:val="18"/>
    </w:rPr>
  </w:style>
  <w:style w:type="paragraph" w:customStyle="1" w:styleId="ComputerCode">
    <w:name w:val="Computer Code"/>
    <w:basedOn w:val="Normal"/>
    <w:rsid w:val="00E413D1"/>
    <w:pPr>
      <w:spacing w:before="0" w:after="0"/>
    </w:pPr>
    <w:rPr>
      <w:rFonts w:ascii="Courier" w:hAnsi="Courier"/>
      <w:sz w:val="20"/>
    </w:rPr>
  </w:style>
  <w:style w:type="paragraph" w:customStyle="1" w:styleId="BodyCopy">
    <w:name w:val="Body Copy"/>
    <w:basedOn w:val="Normal"/>
    <w:rsid w:val="00E413D1"/>
  </w:style>
  <w:style w:type="paragraph" w:customStyle="1" w:styleId="Subhead2">
    <w:name w:val="Subhead 2"/>
    <w:basedOn w:val="Subhead1"/>
    <w:next w:val="BodyCopy"/>
    <w:rsid w:val="00E413D1"/>
    <w:pPr>
      <w:outlineLvl w:val="1"/>
    </w:pPr>
    <w:rPr>
      <w:sz w:val="24"/>
      <w:u w:val="none"/>
    </w:rPr>
  </w:style>
  <w:style w:type="paragraph" w:customStyle="1" w:styleId="Subhead1">
    <w:name w:val="Subhead 1"/>
    <w:basedOn w:val="Normal"/>
    <w:next w:val="BodyCopy"/>
    <w:autoRedefine/>
    <w:rsid w:val="009F1386"/>
    <w:pPr>
      <w:keepNext/>
      <w:keepLines/>
      <w:spacing w:before="72" w:after="36"/>
      <w:outlineLvl w:val="0"/>
    </w:pPr>
    <w:rPr>
      <w:b/>
      <w:smallCaps/>
      <w:color w:val="FF0000"/>
      <w:sz w:val="28"/>
      <w:szCs w:val="28"/>
      <w:u w:val="thick"/>
    </w:rPr>
  </w:style>
  <w:style w:type="paragraph" w:customStyle="1" w:styleId="Subhead3">
    <w:name w:val="Subhead 3"/>
    <w:basedOn w:val="Subhead2"/>
    <w:next w:val="BodyCopy"/>
    <w:rsid w:val="00E413D1"/>
    <w:pPr>
      <w:outlineLvl w:val="2"/>
    </w:pPr>
    <w:rPr>
      <w:b w:val="0"/>
      <w:i/>
    </w:rPr>
  </w:style>
  <w:style w:type="paragraph" w:customStyle="1" w:styleId="Author">
    <w:name w:val="Author"/>
    <w:basedOn w:val="Normal"/>
    <w:next w:val="Normal"/>
    <w:rsid w:val="00E413D1"/>
    <w:pPr>
      <w:spacing w:after="600"/>
      <w:jc w:val="right"/>
    </w:pPr>
    <w:rPr>
      <w:i/>
      <w:sz w:val="24"/>
    </w:rPr>
  </w:style>
  <w:style w:type="paragraph" w:customStyle="1" w:styleId="PaperTitle">
    <w:name w:val="Paper Title"/>
    <w:basedOn w:val="Normal"/>
    <w:next w:val="Author"/>
    <w:autoRedefine/>
    <w:rsid w:val="00631A2E"/>
    <w:pPr>
      <w:keepLines/>
      <w:spacing w:after="320"/>
      <w:jc w:val="center"/>
    </w:pPr>
    <w:rPr>
      <w:b/>
      <w:smallCaps/>
      <w:shadow/>
      <w:color w:val="FF0000"/>
      <w:sz w:val="36"/>
    </w:rPr>
  </w:style>
  <w:style w:type="paragraph" w:customStyle="1" w:styleId="Bullet">
    <w:name w:val="Bullet"/>
    <w:basedOn w:val="BodyCopy"/>
    <w:autoRedefine/>
    <w:rsid w:val="00E413D1"/>
    <w:pPr>
      <w:numPr>
        <w:numId w:val="26"/>
      </w:numPr>
      <w:spacing w:after="36"/>
    </w:pPr>
  </w:style>
  <w:style w:type="paragraph" w:customStyle="1" w:styleId="Figuretag">
    <w:name w:val="Figure tag"/>
    <w:basedOn w:val="BodyCopy"/>
    <w:next w:val="BodyCopy"/>
    <w:rsid w:val="00E413D1"/>
    <w:pPr>
      <w:spacing w:before="0" w:after="144"/>
      <w:jc w:val="center"/>
    </w:pPr>
    <w:rPr>
      <w:i/>
      <w:sz w:val="20"/>
    </w:rPr>
  </w:style>
  <w:style w:type="paragraph" w:styleId="Footer">
    <w:name w:val="footer"/>
    <w:basedOn w:val="Normal"/>
    <w:rsid w:val="00E413D1"/>
    <w:pPr>
      <w:tabs>
        <w:tab w:val="center" w:pos="4320"/>
        <w:tab w:val="right" w:pos="8640"/>
      </w:tabs>
    </w:pPr>
    <w:rPr>
      <w:rFonts w:ascii="Arial" w:hAnsi="Arial"/>
      <w:sz w:val="18"/>
    </w:rPr>
  </w:style>
  <w:style w:type="paragraph" w:customStyle="1" w:styleId="NumberedLists">
    <w:name w:val="Numbered Lists"/>
    <w:basedOn w:val="Bullet"/>
    <w:autoRedefine/>
    <w:rsid w:val="00E413D1"/>
    <w:pPr>
      <w:numPr>
        <w:numId w:val="7"/>
      </w:numPr>
    </w:pPr>
  </w:style>
  <w:style w:type="character" w:styleId="PageNumber">
    <w:name w:val="page number"/>
    <w:basedOn w:val="DefaultParagraphFont"/>
    <w:rsid w:val="00E413D1"/>
  </w:style>
  <w:style w:type="paragraph" w:customStyle="1" w:styleId="Bullet2">
    <w:name w:val="Bullet2"/>
    <w:basedOn w:val="Bullet"/>
    <w:rsid w:val="00E413D1"/>
    <w:pPr>
      <w:tabs>
        <w:tab w:val="clear" w:pos="360"/>
        <w:tab w:val="left" w:pos="720"/>
      </w:tabs>
      <w:ind w:left="720"/>
    </w:pPr>
  </w:style>
  <w:style w:type="paragraph" w:customStyle="1" w:styleId="Bullet3">
    <w:name w:val="Bullet3"/>
    <w:basedOn w:val="Bullet"/>
    <w:rsid w:val="00E413D1"/>
    <w:pPr>
      <w:tabs>
        <w:tab w:val="clear" w:pos="360"/>
        <w:tab w:val="left" w:pos="1080"/>
      </w:tabs>
      <w:ind w:left="1080"/>
    </w:pPr>
  </w:style>
  <w:style w:type="paragraph" w:customStyle="1" w:styleId="NumberedLists2">
    <w:name w:val="Numbered Lists2"/>
    <w:basedOn w:val="NumberedLists"/>
    <w:rsid w:val="00E413D1"/>
    <w:pPr>
      <w:numPr>
        <w:numId w:val="5"/>
      </w:numPr>
      <w:tabs>
        <w:tab w:val="left" w:pos="720"/>
      </w:tabs>
      <w:ind w:left="720"/>
    </w:pPr>
  </w:style>
  <w:style w:type="paragraph" w:customStyle="1" w:styleId="NumberedLists3">
    <w:name w:val="Numbered Lists3"/>
    <w:basedOn w:val="NumberedLists"/>
    <w:rsid w:val="00E413D1"/>
    <w:pPr>
      <w:numPr>
        <w:numId w:val="6"/>
      </w:numPr>
      <w:tabs>
        <w:tab w:val="clear" w:pos="360"/>
        <w:tab w:val="left" w:pos="720"/>
      </w:tabs>
      <w:ind w:left="1080"/>
    </w:pPr>
  </w:style>
  <w:style w:type="paragraph" w:customStyle="1" w:styleId="Subhead4">
    <w:name w:val="Subhead 4"/>
    <w:basedOn w:val="BodyText"/>
    <w:rsid w:val="00E413D1"/>
    <w:pPr>
      <w:spacing w:before="72" w:after="36"/>
      <w:outlineLvl w:val="3"/>
    </w:pPr>
    <w:rPr>
      <w:i/>
      <w:smallCaps/>
      <w:color w:val="FF0000"/>
    </w:rPr>
  </w:style>
  <w:style w:type="paragraph" w:customStyle="1" w:styleId="Style1">
    <w:name w:val="Style1"/>
    <w:basedOn w:val="Header"/>
    <w:rsid w:val="00E413D1"/>
    <w:pPr>
      <w:jc w:val="right"/>
    </w:pPr>
    <w:rPr>
      <w:rFonts w:cs="Arial"/>
    </w:rPr>
  </w:style>
  <w:style w:type="paragraph" w:styleId="BodyText">
    <w:name w:val="Body Text"/>
    <w:basedOn w:val="Normal"/>
    <w:rsid w:val="00E413D1"/>
    <w:pPr>
      <w:spacing w:after="120"/>
    </w:pPr>
  </w:style>
  <w:style w:type="paragraph" w:customStyle="1" w:styleId="Style2">
    <w:name w:val="Style2"/>
    <w:basedOn w:val="Footer"/>
    <w:rsid w:val="00E413D1"/>
    <w:pPr>
      <w:jc w:val="right"/>
    </w:pPr>
    <w:rPr>
      <w:rFonts w:cs="Arial"/>
    </w:rPr>
  </w:style>
  <w:style w:type="table" w:styleId="TableGrid">
    <w:name w:val="Table Grid"/>
    <w:basedOn w:val="TableNormal"/>
    <w:rsid w:val="00F625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FA660A"/>
    <w:rPr>
      <w:color w:val="0000FF"/>
      <w:u w:val="single"/>
    </w:rPr>
  </w:style>
  <w:style w:type="paragraph" w:customStyle="1" w:styleId="Default">
    <w:name w:val="Default"/>
    <w:rsid w:val="002A2BB4"/>
    <w:pPr>
      <w:autoSpaceDE w:val="0"/>
      <w:autoSpaceDN w:val="0"/>
      <w:adjustRightInd w:val="0"/>
    </w:pPr>
    <w:rPr>
      <w:color w:val="000000"/>
      <w:sz w:val="24"/>
      <w:szCs w:val="24"/>
    </w:rPr>
  </w:style>
  <w:style w:type="character" w:styleId="FollowedHyperlink">
    <w:name w:val="FollowedHyperlink"/>
    <w:basedOn w:val="DefaultParagraphFont"/>
    <w:rsid w:val="00D23763"/>
    <w:rPr>
      <w:color w:val="800080"/>
      <w:u w:val="single"/>
    </w:rPr>
  </w:style>
  <w:style w:type="paragraph" w:styleId="BalloonText">
    <w:name w:val="Balloon Text"/>
    <w:basedOn w:val="Normal"/>
    <w:link w:val="BalloonTextChar"/>
    <w:rsid w:val="00566720"/>
    <w:pPr>
      <w:spacing w:before="0" w:after="0"/>
    </w:pPr>
    <w:rPr>
      <w:rFonts w:ascii="Tahoma" w:hAnsi="Tahoma" w:cs="Tahoma"/>
      <w:sz w:val="16"/>
      <w:szCs w:val="16"/>
    </w:rPr>
  </w:style>
  <w:style w:type="character" w:customStyle="1" w:styleId="BalloonTextChar">
    <w:name w:val="Balloon Text Char"/>
    <w:basedOn w:val="DefaultParagraphFont"/>
    <w:link w:val="BalloonText"/>
    <w:rsid w:val="00566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oracle.com/technology/deploy/availability/pdf/MAA_WP_10g_RACPrimaryRACPhysicalStandby.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ioug.org/private_files.cfm/selectjournal/issues/07q3/SELECT-Q307_Gorbachev-Plug.pdf?redirect=true&amp;file_name=selectjournal/issues/07q3/SELECT-Q307_Gorbachev-Plug.pdf&amp;CFID=6190371&amp;CFTOKEN=806782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oracloid.com/papers/ExtendingOracleEnterpriseManager10g.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IOUG</vt:lpstr>
    </vt:vector>
  </TitlesOfParts>
  <Company> </Company>
  <LinksUpToDate>false</LinksUpToDate>
  <CharactersWithSpaces>22939</CharactersWithSpaces>
  <SharedDoc>false</SharedDoc>
  <HLinks>
    <vt:vector size="18" baseType="variant">
      <vt:variant>
        <vt:i4>6946918</vt:i4>
      </vt:variant>
      <vt:variant>
        <vt:i4>6</vt:i4>
      </vt:variant>
      <vt:variant>
        <vt:i4>0</vt:i4>
      </vt:variant>
      <vt:variant>
        <vt:i4>5</vt:i4>
      </vt:variant>
      <vt:variant>
        <vt:lpwstr>http://www.ioug.org/private_files.cfm/selectjournal/issues/07q3/SELECT-Q307_Gorbachev-Plug.pdf?redirect=true&amp;file_name=selectjournal/issues/07q3/SELECT-Q307_Gorbachev-Plug.pdf&amp;CFID=6190371&amp;CFTOKEN=80678233</vt:lpwstr>
      </vt:variant>
      <vt:variant>
        <vt:lpwstr/>
      </vt:variant>
      <vt:variant>
        <vt:i4>7209058</vt:i4>
      </vt:variant>
      <vt:variant>
        <vt:i4>3</vt:i4>
      </vt:variant>
      <vt:variant>
        <vt:i4>0</vt:i4>
      </vt:variant>
      <vt:variant>
        <vt:i4>5</vt:i4>
      </vt:variant>
      <vt:variant>
        <vt:lpwstr>http://www.oracloid.com/papers/ExtendingOracleEnterpriseManager10g.pdf</vt:lpwstr>
      </vt:variant>
      <vt:variant>
        <vt:lpwstr/>
      </vt:variant>
      <vt:variant>
        <vt:i4>4456486</vt:i4>
      </vt:variant>
      <vt:variant>
        <vt:i4>0</vt:i4>
      </vt:variant>
      <vt:variant>
        <vt:i4>0</vt:i4>
      </vt:variant>
      <vt:variant>
        <vt:i4>5</vt:i4>
      </vt:variant>
      <vt:variant>
        <vt:lpwstr>http://www.oracle.com/technology/deploy/availability/pdf/MAA_WP_10g_RACPrimaryRACPhysicalStandby.pdf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IOUG</dc:title>
  <dc:subject/>
  <dc:creator>IOUG</dc:creator>
  <cp:keywords/>
  <dc:description/>
  <cp:lastModifiedBy>Sreekanth_Chintala</cp:lastModifiedBy>
  <cp:revision>2</cp:revision>
  <cp:lastPrinted>2008-02-24T17:56:00Z</cp:lastPrinted>
  <dcterms:created xsi:type="dcterms:W3CDTF">2008-03-02T05:22:00Z</dcterms:created>
  <dcterms:modified xsi:type="dcterms:W3CDTF">2008-03-02T05:22:00Z</dcterms:modified>
</cp:coreProperties>
</file>